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C2B" w:rsidRDefault="00F73C2B" w:rsidP="00F73C2B">
      <w:pPr>
        <w:tabs>
          <w:tab w:val="left" w:pos="0"/>
        </w:tabs>
        <w:spacing w:line="276" w:lineRule="auto"/>
        <w:jc w:val="right"/>
        <w:rPr>
          <w:rFonts w:ascii="Cambria" w:hAnsi="Cambria" w:cstheme="minorHAnsi"/>
          <w:b/>
          <w:sz w:val="32"/>
        </w:rPr>
      </w:pPr>
      <w:r w:rsidRPr="00CC28AB">
        <w:rPr>
          <w:rFonts w:ascii="Cambria" w:hAnsi="Cambria" w:cstheme="minorHAnsi"/>
          <w:b/>
          <w:sz w:val="24"/>
          <w:u w:val="single"/>
        </w:rPr>
        <w:t xml:space="preserve">ПРИЛОЖЕНИЕ № </w:t>
      </w:r>
      <w:r>
        <w:rPr>
          <w:rFonts w:ascii="Cambria" w:hAnsi="Cambria" w:cstheme="minorHAnsi"/>
          <w:b/>
          <w:sz w:val="24"/>
          <w:u w:val="single"/>
        </w:rPr>
        <w:t>Б</w:t>
      </w:r>
    </w:p>
    <w:p w:rsidR="00777636" w:rsidRPr="00B243E5" w:rsidRDefault="00777636" w:rsidP="00777636">
      <w:pPr>
        <w:tabs>
          <w:tab w:val="left" w:pos="0"/>
        </w:tabs>
        <w:spacing w:line="276" w:lineRule="auto"/>
        <w:jc w:val="center"/>
        <w:rPr>
          <w:rFonts w:ascii="Cambria" w:hAnsi="Cambria" w:cstheme="minorHAnsi"/>
          <w:b/>
          <w:sz w:val="32"/>
        </w:rPr>
      </w:pPr>
      <w:r>
        <w:rPr>
          <w:rFonts w:ascii="Cambria" w:hAnsi="Cambria" w:cstheme="minorHAnsi"/>
          <w:b/>
          <w:sz w:val="32"/>
        </w:rPr>
        <w:t>МЕТОДИКА</w:t>
      </w:r>
    </w:p>
    <w:p w:rsidR="00777636" w:rsidRPr="00AA4205" w:rsidRDefault="00777636" w:rsidP="00777636">
      <w:pPr>
        <w:pStyle w:val="Standard"/>
        <w:tabs>
          <w:tab w:val="left" w:pos="567"/>
        </w:tabs>
        <w:spacing w:before="120" w:line="276" w:lineRule="auto"/>
        <w:jc w:val="center"/>
        <w:rPr>
          <w:rFonts w:ascii="Cambria" w:eastAsiaTheme="minorHAnsi" w:hAnsi="Cambria" w:cstheme="minorHAnsi"/>
          <w:b/>
          <w:kern w:val="0"/>
          <w:szCs w:val="22"/>
          <w:lang w:val="en-US" w:bidi="ar-SA"/>
        </w:rPr>
      </w:pPr>
      <w:r w:rsidRPr="00777636">
        <w:rPr>
          <w:rFonts w:ascii="Cambria" w:eastAsiaTheme="minorHAnsi" w:hAnsi="Cambria" w:cstheme="minorHAnsi"/>
          <w:b/>
          <w:kern w:val="0"/>
          <w:szCs w:val="22"/>
          <w:lang w:val="bg-BG" w:bidi="ar-SA"/>
        </w:rPr>
        <w:t>за определяне на комплексната оценка на офертите, подадени за участие в процедура „публично състезание“ за възлагане на обществена поръчка по чл.178 ЗОП</w:t>
      </w:r>
      <w:r w:rsidRPr="00AA4205">
        <w:rPr>
          <w:rFonts w:ascii="Cambria" w:eastAsiaTheme="minorHAnsi" w:hAnsi="Cambria" w:cstheme="minorHAnsi"/>
          <w:b/>
          <w:kern w:val="0"/>
          <w:szCs w:val="22"/>
          <w:lang w:val="bg-BG" w:bidi="ar-SA"/>
        </w:rPr>
        <w:t xml:space="preserve">, във връзка с чл.18, т.12 и чл.20, ал.2, т.1 ЗОП, при условията </w:t>
      </w:r>
      <w:r w:rsidRPr="00B243E5">
        <w:rPr>
          <w:rFonts w:ascii="Cambria" w:eastAsiaTheme="minorHAnsi" w:hAnsi="Cambria" w:cstheme="minorHAnsi"/>
          <w:b/>
          <w:kern w:val="0"/>
          <w:szCs w:val="22"/>
          <w:lang w:val="bg-BG" w:bidi="ar-SA"/>
        </w:rPr>
        <w:t>на чл. 114 от ЗОП</w:t>
      </w:r>
      <w:r w:rsidRPr="00AA4205">
        <w:rPr>
          <w:rFonts w:ascii="Cambria" w:eastAsiaTheme="minorHAnsi" w:hAnsi="Cambria" w:cstheme="minorHAnsi"/>
          <w:b/>
          <w:kern w:val="0"/>
          <w:szCs w:val="22"/>
          <w:lang w:val="bg-BG" w:bidi="ar-SA"/>
        </w:rPr>
        <w:t xml:space="preserve"> (обществена поръчка „под условие“) с предмет:</w:t>
      </w:r>
    </w:p>
    <w:p w:rsidR="00777636" w:rsidRPr="00AA4205" w:rsidRDefault="00777636" w:rsidP="00777636">
      <w:pPr>
        <w:tabs>
          <w:tab w:val="left" w:pos="567"/>
        </w:tabs>
        <w:spacing w:line="276" w:lineRule="auto"/>
        <w:rPr>
          <w:rFonts w:ascii="Cambria" w:hAnsi="Cambria" w:cstheme="minorHAnsi"/>
          <w:b/>
          <w:sz w:val="24"/>
          <w:highlight w:val="yellow"/>
          <w:lang w:bidi="hi-IN"/>
        </w:rPr>
      </w:pPr>
    </w:p>
    <w:p w:rsidR="00747CA4" w:rsidRDefault="00777636" w:rsidP="00777636">
      <w:pPr>
        <w:jc w:val="center"/>
        <w:rPr>
          <w:rFonts w:ascii="Cambria" w:hAnsi="Cambria" w:cstheme="minorHAnsi"/>
          <w:b/>
          <w:sz w:val="32"/>
        </w:rPr>
      </w:pPr>
      <w:r w:rsidRPr="00AA4205">
        <w:rPr>
          <w:rFonts w:ascii="Cambria" w:hAnsi="Cambria" w:cstheme="minorHAnsi"/>
          <w:b/>
          <w:sz w:val="32"/>
        </w:rPr>
        <w:t>„Подмяна на външна дограма на сградата на МВнР</w:t>
      </w:r>
      <w:r>
        <w:rPr>
          <w:rFonts w:ascii="Cambria" w:hAnsi="Cambria" w:cstheme="minorHAnsi"/>
          <w:b/>
          <w:sz w:val="32"/>
        </w:rPr>
        <w:t xml:space="preserve"> – Централно управление</w:t>
      </w:r>
      <w:r w:rsidRPr="00AA4205">
        <w:rPr>
          <w:rFonts w:ascii="Cambria" w:hAnsi="Cambria" w:cstheme="minorHAnsi"/>
          <w:b/>
          <w:sz w:val="32"/>
        </w:rPr>
        <w:t>“</w:t>
      </w:r>
    </w:p>
    <w:p w:rsidR="00777636" w:rsidRDefault="00777636" w:rsidP="00777636">
      <w:pPr>
        <w:jc w:val="center"/>
        <w:rPr>
          <w:rFonts w:ascii="Cambria" w:hAnsi="Cambria" w:cstheme="minorHAnsi"/>
          <w:b/>
          <w:sz w:val="32"/>
        </w:rPr>
      </w:pPr>
    </w:p>
    <w:p w:rsidR="00777636" w:rsidRDefault="00777636" w:rsidP="00777636">
      <w:pPr>
        <w:jc w:val="both"/>
        <w:rPr>
          <w:rFonts w:ascii="Cambria" w:hAnsi="Cambria"/>
        </w:rPr>
      </w:pPr>
      <w:r w:rsidRPr="00777636">
        <w:rPr>
          <w:rFonts w:ascii="Cambria" w:hAnsi="Cambria"/>
        </w:rPr>
        <w:t>Критерият за оценка е икономически най-изгодна оферта, или оптималното съотношение качество/цена. Оценката и класирането се извършват в съответствие с настоящата «Методика за определяне на комплексна оценка на оферта» и при спазване на другите условия и ред, посочени в РАЗДЕЛ III. УСЛОВИЯ ЗА УЧАСТИЕ В ПРОЦЕДУРАТА</w:t>
      </w:r>
      <w:r>
        <w:rPr>
          <w:rFonts w:ascii="Cambria" w:hAnsi="Cambria"/>
        </w:rPr>
        <w:t xml:space="preserve"> на одобрената от Възложителя документация за обществената поръчка</w:t>
      </w:r>
      <w:r w:rsidRPr="00777636">
        <w:rPr>
          <w:rFonts w:ascii="Cambria" w:hAnsi="Cambria"/>
        </w:rPr>
        <w:t>.</w:t>
      </w:r>
    </w:p>
    <w:p w:rsidR="00C5403A" w:rsidRDefault="00C5403A" w:rsidP="00777636">
      <w:pPr>
        <w:jc w:val="both"/>
        <w:rPr>
          <w:rFonts w:ascii="Cambria" w:hAnsi="Cambria"/>
        </w:rPr>
      </w:pPr>
    </w:p>
    <w:p w:rsidR="00C5403A" w:rsidRDefault="00C5403A" w:rsidP="00C5403A">
      <w:pPr>
        <w:pStyle w:val="ListParagraph"/>
        <w:numPr>
          <w:ilvl w:val="0"/>
          <w:numId w:val="1"/>
        </w:numPr>
        <w:ind w:left="0" w:firstLine="360"/>
        <w:jc w:val="both"/>
        <w:rPr>
          <w:rFonts w:ascii="Cambria" w:hAnsi="Cambria"/>
          <w:b/>
        </w:rPr>
      </w:pPr>
      <w:r w:rsidRPr="00C5403A">
        <w:rPr>
          <w:rFonts w:ascii="Cambria" w:hAnsi="Cambria"/>
          <w:b/>
        </w:rPr>
        <w:t>Показатели за оценка на офертата и относителната им тежест в комплексната оценка.</w:t>
      </w:r>
    </w:p>
    <w:p w:rsidR="00C5403A" w:rsidRPr="00C5403A" w:rsidRDefault="00C5403A" w:rsidP="00C5403A">
      <w:pPr>
        <w:pStyle w:val="ListParagraph"/>
        <w:ind w:left="360"/>
        <w:jc w:val="both"/>
        <w:rPr>
          <w:rFonts w:ascii="Cambria" w:hAnsi="Cambria"/>
          <w:b/>
        </w:rPr>
      </w:pPr>
    </w:p>
    <w:p w:rsidR="00C5403A" w:rsidRDefault="00C5403A" w:rsidP="00C5403A">
      <w:pPr>
        <w:pStyle w:val="ListParagraph"/>
        <w:spacing w:after="240"/>
        <w:ind w:left="0" w:firstLine="720"/>
        <w:jc w:val="both"/>
        <w:rPr>
          <w:rFonts w:ascii="Cambria" w:hAnsi="Cambria"/>
        </w:rPr>
      </w:pPr>
      <w:r w:rsidRPr="00C5403A">
        <w:rPr>
          <w:rFonts w:ascii="Cambria" w:hAnsi="Cambria"/>
        </w:rPr>
        <w:t>Класирането на допуснатите до участие оферти се извършва на база получената за съответната оферта комплексна оценка (К), като сума от индивидуалните оценки по съответните показатели. Показателите, с тяхната</w:t>
      </w:r>
      <w:r>
        <w:rPr>
          <w:rFonts w:ascii="Cambria" w:hAnsi="Cambria"/>
        </w:rPr>
        <w:t xml:space="preserve"> </w:t>
      </w:r>
      <w:r w:rsidRPr="00C5403A">
        <w:rPr>
          <w:rFonts w:ascii="Cambria" w:hAnsi="Cambria"/>
        </w:rPr>
        <w:t>относителна тежест за определяне на комплексна оценка за всяка оферта, са:</w:t>
      </w:r>
    </w:p>
    <w:p w:rsidR="00C5403A" w:rsidRDefault="00C5403A" w:rsidP="00C5403A">
      <w:pPr>
        <w:pStyle w:val="ListParagraph"/>
        <w:spacing w:after="240"/>
        <w:ind w:left="0" w:firstLine="720"/>
        <w:jc w:val="both"/>
        <w:rPr>
          <w:rFonts w:ascii="Cambria" w:hAnsi="Cambria"/>
        </w:rPr>
      </w:pPr>
    </w:p>
    <w:p w:rsidR="00C5403A" w:rsidRPr="00C5403A" w:rsidRDefault="00C5403A" w:rsidP="00C5403A">
      <w:pPr>
        <w:pStyle w:val="ListParagraph"/>
        <w:numPr>
          <w:ilvl w:val="0"/>
          <w:numId w:val="2"/>
        </w:numPr>
        <w:rPr>
          <w:rFonts w:ascii="Cambria" w:hAnsi="Cambria"/>
        </w:rPr>
      </w:pPr>
      <w:r w:rsidRPr="00C5403A">
        <w:rPr>
          <w:rFonts w:ascii="Cambria" w:hAnsi="Cambria"/>
        </w:rPr>
        <w:t>Предлагана цена К1 – 40</w:t>
      </w:r>
      <w:r>
        <w:rPr>
          <w:rFonts w:ascii="Cambria" w:hAnsi="Cambria"/>
        </w:rPr>
        <w:t xml:space="preserve"> </w:t>
      </w:r>
      <w:r w:rsidRPr="00C5403A">
        <w:rPr>
          <w:rFonts w:ascii="Cambria" w:hAnsi="Cambria"/>
        </w:rPr>
        <w:t>т.</w:t>
      </w:r>
    </w:p>
    <w:p w:rsidR="00C5403A" w:rsidRDefault="00C5403A" w:rsidP="00C5403A">
      <w:pPr>
        <w:pStyle w:val="ListParagraph"/>
        <w:numPr>
          <w:ilvl w:val="0"/>
          <w:numId w:val="2"/>
        </w:numPr>
        <w:rPr>
          <w:rFonts w:ascii="Cambria" w:hAnsi="Cambria"/>
        </w:rPr>
      </w:pPr>
      <w:r w:rsidRPr="00C5403A">
        <w:rPr>
          <w:rFonts w:ascii="Cambria" w:hAnsi="Cambria"/>
        </w:rPr>
        <w:t>Техническа оценка К2</w:t>
      </w:r>
      <w:r w:rsidRPr="00C5403A">
        <w:rPr>
          <w:rFonts w:ascii="Cambria" w:hAnsi="Cambria"/>
          <w:lang w:val="en-US"/>
        </w:rPr>
        <w:t xml:space="preserve"> </w:t>
      </w:r>
      <w:r w:rsidRPr="00C5403A">
        <w:rPr>
          <w:rFonts w:ascii="Cambria" w:hAnsi="Cambria"/>
        </w:rPr>
        <w:t>– 60</w:t>
      </w:r>
      <w:r>
        <w:rPr>
          <w:rFonts w:ascii="Cambria" w:hAnsi="Cambria"/>
        </w:rPr>
        <w:t xml:space="preserve"> </w:t>
      </w:r>
      <w:r w:rsidRPr="00C5403A">
        <w:rPr>
          <w:rFonts w:ascii="Cambria" w:hAnsi="Cambria"/>
        </w:rPr>
        <w:t>т.</w:t>
      </w:r>
    </w:p>
    <w:p w:rsidR="00C5403A" w:rsidRDefault="00C5403A" w:rsidP="00C5403A">
      <w:pPr>
        <w:pStyle w:val="ListParagraph"/>
        <w:rPr>
          <w:rFonts w:ascii="Cambria" w:hAnsi="Cambria"/>
        </w:rPr>
      </w:pPr>
    </w:p>
    <w:p w:rsidR="00C5403A" w:rsidRPr="00C5403A" w:rsidRDefault="00C5403A" w:rsidP="00C5403A">
      <w:pPr>
        <w:pStyle w:val="ListParagraph"/>
        <w:ind w:left="360"/>
        <w:rPr>
          <w:rFonts w:ascii="Cambria" w:hAnsi="Cambria"/>
          <w:b/>
        </w:rPr>
      </w:pPr>
      <w:r w:rsidRPr="00C5403A">
        <w:rPr>
          <w:rFonts w:ascii="Cambria" w:hAnsi="Cambria"/>
          <w:b/>
        </w:rPr>
        <w:t>Комплексната оценка се получава по формулата:</w:t>
      </w:r>
    </w:p>
    <w:p w:rsidR="00C5403A" w:rsidRPr="00C5403A" w:rsidRDefault="00C5403A" w:rsidP="00C5403A">
      <w:pPr>
        <w:pStyle w:val="ListParagraph"/>
        <w:ind w:left="360"/>
        <w:rPr>
          <w:rFonts w:ascii="Cambria" w:hAnsi="Cambria"/>
          <w:b/>
        </w:rPr>
      </w:pPr>
      <w:r w:rsidRPr="00C5403A">
        <w:rPr>
          <w:rFonts w:ascii="Cambria" w:hAnsi="Cambria"/>
          <w:b/>
        </w:rPr>
        <w:t>К = К1+ К2</w:t>
      </w:r>
    </w:p>
    <w:p w:rsidR="00C5403A" w:rsidRDefault="00C5403A" w:rsidP="00C5403A">
      <w:pPr>
        <w:pStyle w:val="ListParagraph"/>
        <w:ind w:left="360"/>
        <w:rPr>
          <w:rFonts w:ascii="Cambria" w:hAnsi="Cambria"/>
          <w:b/>
        </w:rPr>
      </w:pPr>
      <w:r w:rsidRPr="00C5403A">
        <w:rPr>
          <w:rFonts w:ascii="Cambria" w:hAnsi="Cambria"/>
        </w:rPr>
        <w:t xml:space="preserve">Максималният брой точки, който може да получи един участник е </w:t>
      </w:r>
      <w:r w:rsidRPr="00C5403A">
        <w:rPr>
          <w:rFonts w:ascii="Cambria" w:hAnsi="Cambria"/>
          <w:b/>
        </w:rPr>
        <w:t>100.</w:t>
      </w:r>
    </w:p>
    <w:p w:rsidR="00C5403A" w:rsidRPr="00C5403A" w:rsidRDefault="00C5403A" w:rsidP="00C5403A">
      <w:pPr>
        <w:pStyle w:val="ListParagraph"/>
        <w:ind w:left="360"/>
        <w:rPr>
          <w:rFonts w:ascii="Cambria" w:hAnsi="Cambria"/>
        </w:rPr>
      </w:pPr>
    </w:p>
    <w:p w:rsidR="00C5403A" w:rsidRPr="00C5403A" w:rsidRDefault="00C5403A" w:rsidP="00C5403A">
      <w:pPr>
        <w:pStyle w:val="ListParagraph"/>
        <w:numPr>
          <w:ilvl w:val="0"/>
          <w:numId w:val="1"/>
        </w:numPr>
        <w:jc w:val="both"/>
        <w:rPr>
          <w:rFonts w:ascii="Cambria" w:hAnsi="Cambria"/>
          <w:b/>
        </w:rPr>
      </w:pPr>
      <w:r w:rsidRPr="00C5403A">
        <w:rPr>
          <w:rFonts w:ascii="Cambria" w:hAnsi="Cambria"/>
          <w:b/>
        </w:rPr>
        <w:t>Предлагана цена (К1).</w:t>
      </w:r>
    </w:p>
    <w:p w:rsidR="00C5403A" w:rsidRDefault="00C5403A" w:rsidP="00C5403A">
      <w:pPr>
        <w:pStyle w:val="ListParagraph"/>
        <w:jc w:val="both"/>
        <w:rPr>
          <w:rFonts w:ascii="Cambria" w:hAnsi="Cambria"/>
          <w:b/>
        </w:rPr>
      </w:pPr>
    </w:p>
    <w:p w:rsidR="00C5403A" w:rsidRPr="00C5403A" w:rsidRDefault="00C5403A" w:rsidP="00C5403A">
      <w:pPr>
        <w:pStyle w:val="ListParagraph"/>
        <w:jc w:val="both"/>
        <w:rPr>
          <w:rFonts w:ascii="Cambria" w:hAnsi="Cambria"/>
        </w:rPr>
      </w:pPr>
      <w:r w:rsidRPr="00C5403A">
        <w:rPr>
          <w:rFonts w:ascii="Cambria" w:hAnsi="Cambria"/>
        </w:rPr>
        <w:t xml:space="preserve">Максимален брой точки по показател К1 е 40 точки. </w:t>
      </w:r>
    </w:p>
    <w:p w:rsidR="00C5403A" w:rsidRPr="00C5403A" w:rsidRDefault="00C5403A" w:rsidP="00C5403A">
      <w:pPr>
        <w:pStyle w:val="ListParagraph"/>
        <w:jc w:val="both"/>
        <w:rPr>
          <w:rFonts w:ascii="Cambria" w:hAnsi="Cambria"/>
        </w:rPr>
      </w:pPr>
      <w:r w:rsidRPr="00C5403A">
        <w:rPr>
          <w:rFonts w:ascii="Cambria" w:hAnsi="Cambria"/>
        </w:rPr>
        <w:t>Предложенията на участниците се оценяват по формулата:</w:t>
      </w:r>
    </w:p>
    <w:p w:rsidR="00C5403A" w:rsidRPr="00C5403A" w:rsidRDefault="00C5403A" w:rsidP="00C5403A">
      <w:pPr>
        <w:pStyle w:val="ListParagraph"/>
        <w:jc w:val="both"/>
        <w:rPr>
          <w:rFonts w:ascii="Cambria" w:hAnsi="Cambria"/>
        </w:rPr>
      </w:pPr>
      <w:r w:rsidRPr="00C5403A">
        <w:rPr>
          <w:rFonts w:ascii="Cambria" w:hAnsi="Cambria"/>
        </w:rPr>
        <w:tab/>
      </w:r>
      <w:r w:rsidRPr="00C5403A">
        <w:rPr>
          <w:rFonts w:ascii="Cambria" w:hAnsi="Cambria"/>
        </w:rPr>
        <w:tab/>
        <w:t>К1 =(ПЦ(</w:t>
      </w:r>
      <w:r w:rsidRPr="00C5403A">
        <w:rPr>
          <w:rFonts w:ascii="Cambria" w:hAnsi="Cambria"/>
          <w:sz w:val="18"/>
          <w:u w:val="single"/>
        </w:rPr>
        <w:t>минимум лева</w:t>
      </w:r>
      <w:r w:rsidRPr="00C5403A">
        <w:rPr>
          <w:rFonts w:ascii="Cambria" w:hAnsi="Cambria"/>
        </w:rPr>
        <w:t>) / ПЦ(</w:t>
      </w:r>
      <w:r w:rsidRPr="00C5403A">
        <w:rPr>
          <w:rFonts w:ascii="Cambria" w:hAnsi="Cambria"/>
          <w:sz w:val="18"/>
          <w:u w:val="single"/>
        </w:rPr>
        <w:t>участник</w:t>
      </w:r>
      <w:r w:rsidRPr="00C5403A">
        <w:rPr>
          <w:rFonts w:ascii="Cambria" w:hAnsi="Cambria"/>
        </w:rPr>
        <w:t xml:space="preserve">) )  х 40 </w:t>
      </w:r>
    </w:p>
    <w:p w:rsidR="00C5403A" w:rsidRDefault="00C5403A" w:rsidP="00C5403A">
      <w:pPr>
        <w:pStyle w:val="ListParagraph"/>
        <w:jc w:val="both"/>
        <w:rPr>
          <w:rFonts w:ascii="Cambria" w:hAnsi="Cambria"/>
        </w:rPr>
      </w:pPr>
    </w:p>
    <w:p w:rsidR="00C5403A" w:rsidRDefault="00C5403A" w:rsidP="00C5403A">
      <w:pPr>
        <w:pStyle w:val="ListParagraph"/>
        <w:spacing w:after="360"/>
        <w:jc w:val="both"/>
        <w:rPr>
          <w:rFonts w:ascii="Cambria" w:hAnsi="Cambria"/>
        </w:rPr>
      </w:pPr>
      <w:r w:rsidRPr="00C5403A">
        <w:rPr>
          <w:rFonts w:ascii="Cambria" w:hAnsi="Cambria"/>
        </w:rPr>
        <w:t>Където:</w:t>
      </w:r>
    </w:p>
    <w:p w:rsidR="00C5403A" w:rsidRPr="00C5403A" w:rsidRDefault="00C5403A" w:rsidP="00C5403A">
      <w:pPr>
        <w:pStyle w:val="ListParagraph"/>
        <w:spacing w:after="360"/>
        <w:jc w:val="both"/>
        <w:rPr>
          <w:rFonts w:ascii="Cambria" w:hAnsi="Cambria"/>
        </w:rPr>
      </w:pPr>
    </w:p>
    <w:p w:rsidR="00C5403A" w:rsidRPr="00C5403A" w:rsidRDefault="00C5403A" w:rsidP="00C5403A">
      <w:pPr>
        <w:pStyle w:val="ListParagraph"/>
        <w:jc w:val="both"/>
        <w:rPr>
          <w:rFonts w:ascii="Cambria" w:hAnsi="Cambria"/>
        </w:rPr>
      </w:pPr>
      <w:r w:rsidRPr="00C5403A">
        <w:rPr>
          <w:rFonts w:ascii="Cambria" w:hAnsi="Cambria"/>
          <w:b/>
          <w:i/>
        </w:rPr>
        <w:t>ПЦ(</w:t>
      </w:r>
      <w:r w:rsidRPr="00C5403A">
        <w:rPr>
          <w:rFonts w:ascii="Cambria" w:hAnsi="Cambria"/>
          <w:b/>
          <w:i/>
          <w:sz w:val="18"/>
          <w:u w:val="single"/>
        </w:rPr>
        <w:t>минимум лева</w:t>
      </w:r>
      <w:r w:rsidRPr="00C5403A">
        <w:rPr>
          <w:rFonts w:ascii="Cambria" w:hAnsi="Cambria"/>
          <w:b/>
          <w:i/>
        </w:rPr>
        <w:t>)</w:t>
      </w:r>
      <w:r w:rsidRPr="00C5403A">
        <w:rPr>
          <w:rFonts w:ascii="Cambria" w:hAnsi="Cambria"/>
        </w:rPr>
        <w:t xml:space="preserve"> е най-ниската предложена обща стойност за изпълнение на поръчката от предложените от всички допуснати участници цени;</w:t>
      </w:r>
    </w:p>
    <w:p w:rsidR="00C5403A" w:rsidRPr="00C5403A" w:rsidRDefault="00C5403A" w:rsidP="00C5403A">
      <w:pPr>
        <w:pStyle w:val="ListParagraph"/>
        <w:jc w:val="both"/>
        <w:rPr>
          <w:rFonts w:ascii="Cambria" w:hAnsi="Cambria"/>
        </w:rPr>
      </w:pPr>
      <w:r w:rsidRPr="00C5403A">
        <w:rPr>
          <w:rFonts w:ascii="Cambria" w:hAnsi="Cambria"/>
          <w:b/>
          <w:i/>
        </w:rPr>
        <w:t>ПЦ(</w:t>
      </w:r>
      <w:r w:rsidRPr="00C5403A">
        <w:rPr>
          <w:rFonts w:ascii="Cambria" w:hAnsi="Cambria"/>
          <w:b/>
          <w:i/>
          <w:sz w:val="18"/>
          <w:u w:val="single"/>
        </w:rPr>
        <w:t>участник)</w:t>
      </w:r>
      <w:r w:rsidRPr="00C5403A">
        <w:rPr>
          <w:rFonts w:ascii="Cambria" w:hAnsi="Cambria"/>
        </w:rPr>
        <w:t xml:space="preserve"> е предложената обща стойност за изпълнение на поръчката от оценявания участник. </w:t>
      </w:r>
    </w:p>
    <w:p w:rsidR="00C5403A" w:rsidRDefault="00C5403A" w:rsidP="00C5403A">
      <w:pPr>
        <w:pStyle w:val="ListParagraph"/>
        <w:jc w:val="both"/>
        <w:rPr>
          <w:rFonts w:ascii="Cambria" w:hAnsi="Cambria"/>
        </w:rPr>
      </w:pPr>
      <w:r w:rsidRPr="00C5403A">
        <w:rPr>
          <w:rFonts w:ascii="Cambria" w:hAnsi="Cambria"/>
        </w:rPr>
        <w:lastRenderedPageBreak/>
        <w:t>Знак « х » означава умножение, знак « / » е деление.</w:t>
      </w:r>
    </w:p>
    <w:p w:rsidR="00C5403A" w:rsidRDefault="00C5403A" w:rsidP="00C5403A">
      <w:pPr>
        <w:pStyle w:val="ListParagraph"/>
        <w:jc w:val="both"/>
        <w:rPr>
          <w:rFonts w:ascii="Cambria" w:hAnsi="Cambria"/>
        </w:rPr>
      </w:pPr>
    </w:p>
    <w:p w:rsidR="00C5403A" w:rsidRPr="00C5403A" w:rsidRDefault="00C5403A" w:rsidP="00C5403A">
      <w:pPr>
        <w:pStyle w:val="ListParagraph"/>
        <w:ind w:left="0"/>
        <w:jc w:val="both"/>
        <w:rPr>
          <w:rFonts w:ascii="Cambria" w:hAnsi="Cambria"/>
          <w:b/>
        </w:rPr>
      </w:pPr>
      <w:r w:rsidRPr="00C5403A">
        <w:rPr>
          <w:rFonts w:ascii="Cambria" w:hAnsi="Cambria"/>
          <w:b/>
        </w:rPr>
        <w:t>3.</w:t>
      </w:r>
      <w:r w:rsidRPr="00C5403A">
        <w:rPr>
          <w:rFonts w:ascii="Cambria" w:hAnsi="Cambria"/>
          <w:b/>
        </w:rPr>
        <w:tab/>
        <w:t xml:space="preserve">Техническа оценка (К2). </w:t>
      </w:r>
    </w:p>
    <w:p w:rsidR="00C5403A" w:rsidRDefault="00C5403A" w:rsidP="00C5403A">
      <w:pPr>
        <w:pStyle w:val="ListParagraph"/>
        <w:ind w:left="0" w:firstLine="720"/>
        <w:jc w:val="both"/>
        <w:rPr>
          <w:rFonts w:ascii="Cambria" w:hAnsi="Cambria"/>
        </w:rPr>
      </w:pPr>
      <w:r w:rsidRPr="00C5403A">
        <w:rPr>
          <w:rFonts w:ascii="Cambria" w:hAnsi="Cambria"/>
        </w:rPr>
        <w:t>Максимален брой точки по този показател е 60</w:t>
      </w:r>
      <w:r>
        <w:rPr>
          <w:rFonts w:ascii="Cambria" w:hAnsi="Cambria"/>
        </w:rPr>
        <w:t xml:space="preserve"> точки.</w:t>
      </w:r>
    </w:p>
    <w:p w:rsidR="00C5403A" w:rsidRPr="00C5403A" w:rsidRDefault="00C5403A" w:rsidP="00C5403A">
      <w:pPr>
        <w:pStyle w:val="Style76"/>
        <w:widowControl/>
        <w:numPr>
          <w:ilvl w:val="0"/>
          <w:numId w:val="3"/>
        </w:numPr>
        <w:spacing w:before="60" w:after="60" w:line="240" w:lineRule="auto"/>
        <w:rPr>
          <w:rFonts w:ascii="Cambria" w:hAnsi="Cambria" w:cs="Calibri"/>
          <w:b/>
          <w:sz w:val="22"/>
          <w:szCs w:val="22"/>
        </w:rPr>
      </w:pPr>
      <w:r w:rsidRPr="00C5403A">
        <w:rPr>
          <w:rFonts w:ascii="Cambria" w:hAnsi="Cambria" w:cs="Calibri"/>
          <w:b/>
          <w:sz w:val="22"/>
          <w:szCs w:val="22"/>
        </w:rPr>
        <w:t>Оценка на техническото предложение – К2</w:t>
      </w:r>
    </w:p>
    <w:p w:rsidR="00C5403A" w:rsidRDefault="00C5403A" w:rsidP="00C5403A">
      <w:pPr>
        <w:pStyle w:val="Style76"/>
        <w:ind w:firstLine="720"/>
        <w:rPr>
          <w:rFonts w:ascii="Cambria" w:hAnsi="Cambria" w:cs="Calibri"/>
          <w:sz w:val="22"/>
          <w:szCs w:val="22"/>
          <w:lang w:eastAsia="en-US"/>
        </w:rPr>
      </w:pPr>
      <w:r w:rsidRPr="00C5403A">
        <w:rPr>
          <w:rFonts w:ascii="Cambria" w:hAnsi="Cambria" w:cs="Calibri"/>
          <w:sz w:val="22"/>
          <w:szCs w:val="22"/>
          <w:lang w:eastAsia="en-US"/>
        </w:rPr>
        <w:t>Оценката по показател К2 е сбор от оценките по посочените в таблицата подпоказатели К.2.1 и К 2.2.. Оценката на показателя К2 се извършва от членовете на комисията за провеждане на процедурата, като всеки член на комисията попълва отделна таблица за оценка на предложенията на участниците на реда за съответния показател/подпоказател. Общата оценка на комисията за всеки показател или подпоказател се получава, като сборът от индивидуалните оценки се раздели на броя на членовете на комисията (средноаритметична оценка).</w:t>
      </w:r>
    </w:p>
    <w:p w:rsidR="00345F8E" w:rsidRDefault="00345F8E" w:rsidP="00345F8E">
      <w:pPr>
        <w:pStyle w:val="Style76"/>
        <w:ind w:firstLine="720"/>
        <w:rPr>
          <w:rFonts w:ascii="Cambria" w:hAnsi="Cambria"/>
          <w:sz w:val="22"/>
          <w:szCs w:val="22"/>
        </w:rPr>
      </w:pPr>
      <w:r w:rsidRPr="00345F8E">
        <w:rPr>
          <w:rFonts w:ascii="Cambria" w:hAnsi="Cambria"/>
          <w:sz w:val="22"/>
          <w:szCs w:val="22"/>
        </w:rPr>
        <w:t>На оценка подлежи предложение, което отговаря на предварително обявените изисквания на възложителя, съдържа задължително изискуемите елементи и в своята последователност гарантира навременното и спрямо минималните изисквания на техническата спецификация постигане на резултатите.</w:t>
      </w:r>
    </w:p>
    <w:p w:rsidR="00345F8E" w:rsidRDefault="00345F8E" w:rsidP="00345F8E">
      <w:pPr>
        <w:pStyle w:val="Style76"/>
        <w:ind w:firstLine="720"/>
        <w:rPr>
          <w:rFonts w:ascii="Cambria" w:hAnsi="Cambria"/>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2340"/>
        <w:gridCol w:w="4510"/>
        <w:gridCol w:w="1677"/>
      </w:tblGrid>
      <w:tr w:rsidR="00345F8E" w:rsidRPr="00345F8E" w:rsidTr="00CC186D">
        <w:tc>
          <w:tcPr>
            <w:tcW w:w="715" w:type="dxa"/>
            <w:shd w:val="clear" w:color="auto" w:fill="70AD47" w:themeFill="accent6"/>
            <w:vAlign w:val="center"/>
          </w:tcPr>
          <w:p w:rsidR="00345F8E" w:rsidRPr="00CC186D" w:rsidRDefault="00345F8E" w:rsidP="00345F8E">
            <w:pPr>
              <w:pStyle w:val="Style76"/>
              <w:ind w:hanging="20"/>
              <w:jc w:val="center"/>
              <w:rPr>
                <w:rFonts w:ascii="Cambria" w:hAnsi="Cambria"/>
                <w:b/>
                <w:szCs w:val="22"/>
              </w:rPr>
            </w:pPr>
            <w:r w:rsidRPr="00CC186D">
              <w:rPr>
                <w:rFonts w:ascii="Cambria" w:hAnsi="Cambria"/>
                <w:b/>
                <w:szCs w:val="22"/>
              </w:rPr>
              <w:t>№</w:t>
            </w:r>
          </w:p>
        </w:tc>
        <w:tc>
          <w:tcPr>
            <w:tcW w:w="2340" w:type="dxa"/>
            <w:shd w:val="clear" w:color="auto" w:fill="70AD47" w:themeFill="accent6"/>
            <w:vAlign w:val="center"/>
          </w:tcPr>
          <w:p w:rsidR="00345F8E" w:rsidRPr="00CC186D" w:rsidRDefault="00345F8E" w:rsidP="00345F8E">
            <w:pPr>
              <w:pStyle w:val="Style76"/>
              <w:ind w:hanging="20"/>
              <w:jc w:val="center"/>
              <w:rPr>
                <w:rFonts w:ascii="Cambria" w:hAnsi="Cambria"/>
                <w:b/>
                <w:szCs w:val="22"/>
              </w:rPr>
            </w:pPr>
            <w:r w:rsidRPr="00CC186D">
              <w:rPr>
                <w:rFonts w:ascii="Cambria" w:hAnsi="Cambria"/>
                <w:b/>
                <w:szCs w:val="22"/>
              </w:rPr>
              <w:t>Показател К2</w:t>
            </w:r>
          </w:p>
        </w:tc>
        <w:tc>
          <w:tcPr>
            <w:tcW w:w="4510" w:type="dxa"/>
            <w:shd w:val="clear" w:color="auto" w:fill="70AD47" w:themeFill="accent6"/>
            <w:vAlign w:val="center"/>
          </w:tcPr>
          <w:p w:rsidR="00345F8E" w:rsidRPr="00CC186D" w:rsidRDefault="00345F8E" w:rsidP="00345F8E">
            <w:pPr>
              <w:pStyle w:val="Style76"/>
              <w:ind w:hanging="20"/>
              <w:jc w:val="center"/>
              <w:rPr>
                <w:rFonts w:ascii="Cambria" w:hAnsi="Cambria"/>
                <w:b/>
                <w:szCs w:val="22"/>
              </w:rPr>
            </w:pPr>
            <w:r w:rsidRPr="00CC186D">
              <w:rPr>
                <w:rFonts w:ascii="Cambria" w:hAnsi="Cambria"/>
                <w:b/>
                <w:szCs w:val="22"/>
              </w:rPr>
              <w:t>Условия, надграждащи предложението за изпълнение</w:t>
            </w:r>
          </w:p>
        </w:tc>
        <w:tc>
          <w:tcPr>
            <w:tcW w:w="1677" w:type="dxa"/>
            <w:shd w:val="clear" w:color="auto" w:fill="70AD47" w:themeFill="accent6"/>
            <w:vAlign w:val="center"/>
          </w:tcPr>
          <w:p w:rsidR="00345F8E" w:rsidRPr="00CC186D" w:rsidRDefault="00345F8E" w:rsidP="00345F8E">
            <w:pPr>
              <w:pStyle w:val="Style76"/>
              <w:ind w:hanging="20"/>
              <w:jc w:val="center"/>
              <w:rPr>
                <w:rFonts w:ascii="Cambria" w:hAnsi="Cambria"/>
                <w:b/>
                <w:szCs w:val="22"/>
              </w:rPr>
            </w:pPr>
            <w:r w:rsidRPr="00CC186D">
              <w:rPr>
                <w:rFonts w:ascii="Cambria" w:hAnsi="Cambria"/>
                <w:b/>
                <w:szCs w:val="22"/>
              </w:rPr>
              <w:t>максимален брой точки</w:t>
            </w:r>
          </w:p>
        </w:tc>
      </w:tr>
      <w:tr w:rsidR="00345F8E" w:rsidRPr="00345F8E" w:rsidTr="00F73C2B">
        <w:tc>
          <w:tcPr>
            <w:tcW w:w="715" w:type="dxa"/>
            <w:shd w:val="clear" w:color="auto" w:fill="E2EFD9" w:themeFill="accent6" w:themeFillTint="33"/>
          </w:tcPr>
          <w:p w:rsidR="00345F8E" w:rsidRPr="00345F8E" w:rsidRDefault="00345F8E" w:rsidP="00345F8E">
            <w:pPr>
              <w:pStyle w:val="Style76"/>
              <w:ind w:firstLine="720"/>
              <w:rPr>
                <w:rFonts w:ascii="Cambria" w:hAnsi="Cambria"/>
                <w:sz w:val="22"/>
                <w:szCs w:val="22"/>
              </w:rPr>
            </w:pPr>
          </w:p>
        </w:tc>
        <w:tc>
          <w:tcPr>
            <w:tcW w:w="2340" w:type="dxa"/>
            <w:shd w:val="clear" w:color="auto" w:fill="E2EFD9" w:themeFill="accent6" w:themeFillTint="33"/>
          </w:tcPr>
          <w:p w:rsidR="00345F8E" w:rsidRPr="00345F8E" w:rsidRDefault="00345F8E" w:rsidP="00345F8E">
            <w:pPr>
              <w:pStyle w:val="Style76"/>
              <w:ind w:firstLine="720"/>
              <w:rPr>
                <w:rFonts w:ascii="Cambria" w:hAnsi="Cambria"/>
                <w:sz w:val="22"/>
                <w:szCs w:val="22"/>
              </w:rPr>
            </w:pPr>
          </w:p>
        </w:tc>
        <w:tc>
          <w:tcPr>
            <w:tcW w:w="4510" w:type="dxa"/>
            <w:shd w:val="clear" w:color="auto" w:fill="E2EFD9" w:themeFill="accent6" w:themeFillTint="33"/>
          </w:tcPr>
          <w:p w:rsidR="00345F8E" w:rsidRPr="00CC186D" w:rsidRDefault="00345F8E" w:rsidP="00CC186D">
            <w:pPr>
              <w:pStyle w:val="Style76"/>
              <w:jc w:val="center"/>
              <w:rPr>
                <w:rFonts w:ascii="Cambria" w:hAnsi="Cambria"/>
                <w:b/>
                <w:sz w:val="22"/>
                <w:szCs w:val="22"/>
              </w:rPr>
            </w:pPr>
            <w:r w:rsidRPr="00CC186D">
              <w:rPr>
                <w:rFonts w:ascii="Cambria" w:hAnsi="Cambria"/>
                <w:b/>
                <w:sz w:val="22"/>
                <w:szCs w:val="22"/>
              </w:rPr>
              <w:t>Подпоказател К 2.1.</w:t>
            </w:r>
          </w:p>
        </w:tc>
        <w:tc>
          <w:tcPr>
            <w:tcW w:w="1677" w:type="dxa"/>
            <w:shd w:val="clear" w:color="auto" w:fill="E2EFD9" w:themeFill="accent6" w:themeFillTint="33"/>
          </w:tcPr>
          <w:p w:rsidR="00345F8E" w:rsidRPr="00CC186D" w:rsidRDefault="00345F8E" w:rsidP="00345F8E">
            <w:pPr>
              <w:pStyle w:val="Style76"/>
              <w:ind w:firstLine="720"/>
              <w:rPr>
                <w:rFonts w:ascii="Cambria" w:hAnsi="Cambria"/>
                <w:b/>
                <w:sz w:val="22"/>
                <w:szCs w:val="22"/>
              </w:rPr>
            </w:pPr>
            <w:r w:rsidRPr="00CC186D">
              <w:rPr>
                <w:rFonts w:ascii="Cambria" w:hAnsi="Cambria"/>
                <w:b/>
                <w:sz w:val="22"/>
                <w:szCs w:val="22"/>
                <w:lang w:val="en-US"/>
              </w:rPr>
              <w:t>5</w:t>
            </w:r>
            <w:r w:rsidRPr="00CC186D">
              <w:rPr>
                <w:rFonts w:ascii="Cambria" w:hAnsi="Cambria"/>
                <w:b/>
                <w:sz w:val="22"/>
                <w:szCs w:val="22"/>
              </w:rPr>
              <w:t xml:space="preserve">0 </w:t>
            </w:r>
          </w:p>
        </w:tc>
      </w:tr>
      <w:tr w:rsidR="00345F8E" w:rsidRPr="00345F8E" w:rsidTr="00CC186D">
        <w:tc>
          <w:tcPr>
            <w:tcW w:w="715" w:type="dxa"/>
            <w:vAlign w:val="center"/>
          </w:tcPr>
          <w:p w:rsidR="00345F8E" w:rsidRPr="00345F8E" w:rsidRDefault="00345F8E" w:rsidP="00417FB3">
            <w:pPr>
              <w:pStyle w:val="Style76"/>
              <w:ind w:left="-320" w:firstLine="300"/>
              <w:jc w:val="right"/>
              <w:rPr>
                <w:rFonts w:ascii="Cambria" w:hAnsi="Cambria"/>
                <w:sz w:val="22"/>
                <w:szCs w:val="22"/>
              </w:rPr>
            </w:pPr>
            <w:r w:rsidRPr="00345F8E">
              <w:rPr>
                <w:rFonts w:ascii="Cambria" w:hAnsi="Cambria"/>
                <w:sz w:val="22"/>
                <w:szCs w:val="22"/>
              </w:rPr>
              <w:t>1</w:t>
            </w:r>
            <w:r w:rsidR="00417FB3">
              <w:rPr>
                <w:rFonts w:ascii="Cambria" w:hAnsi="Cambria"/>
                <w:sz w:val="22"/>
                <w:szCs w:val="22"/>
              </w:rPr>
              <w:t>.</w:t>
            </w:r>
          </w:p>
        </w:tc>
        <w:tc>
          <w:tcPr>
            <w:tcW w:w="2340" w:type="dxa"/>
            <w:vAlign w:val="center"/>
          </w:tcPr>
          <w:p w:rsidR="00345F8E" w:rsidRPr="00345F8E" w:rsidRDefault="00345F8E" w:rsidP="00417FB3">
            <w:pPr>
              <w:pStyle w:val="Style76"/>
              <w:ind w:left="-740" w:firstLine="740"/>
              <w:jc w:val="left"/>
              <w:rPr>
                <w:rFonts w:ascii="Cambria" w:hAnsi="Cambria"/>
                <w:sz w:val="22"/>
                <w:szCs w:val="22"/>
              </w:rPr>
            </w:pPr>
            <w:r w:rsidRPr="00F73C2B">
              <w:rPr>
                <w:rFonts w:ascii="Cambria" w:hAnsi="Cambria"/>
                <w:sz w:val="22"/>
                <w:szCs w:val="22"/>
              </w:rPr>
              <w:t>Подпоказател К2.1.</w:t>
            </w:r>
            <w:r w:rsidR="00F73C2B" w:rsidRPr="00F73C2B">
              <w:rPr>
                <w:rFonts w:ascii="Cambria" w:hAnsi="Cambria"/>
                <w:sz w:val="22"/>
                <w:szCs w:val="22"/>
              </w:rPr>
              <w:t>1</w:t>
            </w:r>
            <w:r w:rsidRPr="00345F8E">
              <w:rPr>
                <w:rFonts w:ascii="Cambria" w:hAnsi="Cambria"/>
                <w:sz w:val="22"/>
                <w:szCs w:val="22"/>
              </w:rPr>
              <w:t xml:space="preserve"> </w:t>
            </w:r>
          </w:p>
        </w:tc>
        <w:tc>
          <w:tcPr>
            <w:tcW w:w="4510" w:type="dxa"/>
            <w:shd w:val="clear" w:color="auto" w:fill="auto"/>
          </w:tcPr>
          <w:p w:rsidR="00345F8E" w:rsidRPr="00345F8E" w:rsidRDefault="00345F8E" w:rsidP="00417FB3">
            <w:pPr>
              <w:pStyle w:val="Style76"/>
              <w:rPr>
                <w:rFonts w:ascii="Cambria" w:hAnsi="Cambria"/>
                <w:sz w:val="22"/>
                <w:szCs w:val="22"/>
              </w:rPr>
            </w:pPr>
            <w:r w:rsidRPr="00345F8E">
              <w:rPr>
                <w:rFonts w:ascii="Cambria" w:hAnsi="Cambria"/>
                <w:sz w:val="22"/>
                <w:szCs w:val="22"/>
              </w:rPr>
              <w:t xml:space="preserve">Предложение, което отговаря на предварително обявените изисквания на възложителя, съдържа задължително изискуемите елементи и в своята последователност гарантира навременното и </w:t>
            </w:r>
            <w:r w:rsidRPr="00F73C2B">
              <w:rPr>
                <w:rFonts w:ascii="Cambria" w:hAnsi="Cambria"/>
                <w:i/>
                <w:sz w:val="22"/>
                <w:szCs w:val="22"/>
              </w:rPr>
              <w:t xml:space="preserve">спрямо минималните изисквания на техническата спецификация </w:t>
            </w:r>
            <w:r w:rsidRPr="00345F8E">
              <w:rPr>
                <w:rFonts w:ascii="Cambria" w:hAnsi="Cambria"/>
                <w:sz w:val="22"/>
                <w:szCs w:val="22"/>
              </w:rPr>
              <w:t xml:space="preserve">постигане на резултатите. </w:t>
            </w:r>
          </w:p>
          <w:p w:rsidR="00345F8E" w:rsidRPr="00345F8E" w:rsidRDefault="00345F8E" w:rsidP="00345F8E">
            <w:pPr>
              <w:pStyle w:val="Style76"/>
              <w:ind w:firstLine="720"/>
              <w:rPr>
                <w:rFonts w:ascii="Cambria" w:hAnsi="Cambria"/>
                <w:sz w:val="22"/>
                <w:szCs w:val="22"/>
              </w:rPr>
            </w:pPr>
          </w:p>
        </w:tc>
        <w:tc>
          <w:tcPr>
            <w:tcW w:w="1677" w:type="dxa"/>
            <w:shd w:val="clear" w:color="auto" w:fill="auto"/>
            <w:vAlign w:val="center"/>
          </w:tcPr>
          <w:p w:rsidR="00345F8E" w:rsidRPr="00345F8E" w:rsidRDefault="00345F8E" w:rsidP="00CC186D">
            <w:pPr>
              <w:pStyle w:val="Style76"/>
              <w:ind w:hanging="30"/>
              <w:jc w:val="center"/>
              <w:rPr>
                <w:rFonts w:ascii="Cambria" w:hAnsi="Cambria"/>
                <w:sz w:val="22"/>
                <w:szCs w:val="22"/>
              </w:rPr>
            </w:pPr>
            <w:r w:rsidRPr="00345F8E">
              <w:rPr>
                <w:rFonts w:ascii="Cambria" w:hAnsi="Cambria"/>
                <w:sz w:val="22"/>
                <w:szCs w:val="22"/>
                <w:lang w:val="en-US"/>
              </w:rPr>
              <w:t>2</w:t>
            </w:r>
            <w:r w:rsidRPr="00345F8E">
              <w:rPr>
                <w:rFonts w:ascii="Cambria" w:hAnsi="Cambria"/>
                <w:sz w:val="22"/>
                <w:szCs w:val="22"/>
              </w:rPr>
              <w:t>0</w:t>
            </w:r>
          </w:p>
        </w:tc>
      </w:tr>
      <w:tr w:rsidR="00345F8E" w:rsidRPr="00345F8E" w:rsidTr="00CC186D">
        <w:tc>
          <w:tcPr>
            <w:tcW w:w="715" w:type="dxa"/>
            <w:vAlign w:val="center"/>
          </w:tcPr>
          <w:p w:rsidR="00345F8E" w:rsidRPr="00345F8E" w:rsidRDefault="00345F8E" w:rsidP="00417FB3">
            <w:pPr>
              <w:pStyle w:val="Style76"/>
              <w:ind w:left="-20" w:firstLine="740"/>
              <w:jc w:val="center"/>
              <w:rPr>
                <w:rFonts w:ascii="Cambria" w:hAnsi="Cambria"/>
                <w:sz w:val="22"/>
                <w:szCs w:val="22"/>
              </w:rPr>
            </w:pPr>
          </w:p>
        </w:tc>
        <w:tc>
          <w:tcPr>
            <w:tcW w:w="2340" w:type="dxa"/>
            <w:vAlign w:val="center"/>
          </w:tcPr>
          <w:p w:rsidR="00345F8E" w:rsidRPr="00F73C2B" w:rsidRDefault="00345F8E" w:rsidP="00417FB3">
            <w:pPr>
              <w:pStyle w:val="Style76"/>
              <w:jc w:val="center"/>
              <w:rPr>
                <w:rFonts w:ascii="Cambria" w:hAnsi="Cambria"/>
                <w:sz w:val="22"/>
                <w:szCs w:val="22"/>
              </w:rPr>
            </w:pPr>
            <w:r w:rsidRPr="00F73C2B">
              <w:rPr>
                <w:rFonts w:ascii="Cambria" w:hAnsi="Cambria"/>
                <w:sz w:val="22"/>
                <w:szCs w:val="22"/>
              </w:rPr>
              <w:t>Подпоказател К2.1.</w:t>
            </w:r>
            <w:r w:rsidR="00F73C2B" w:rsidRPr="00F73C2B">
              <w:rPr>
                <w:rFonts w:ascii="Cambria" w:hAnsi="Cambria"/>
                <w:sz w:val="22"/>
                <w:szCs w:val="22"/>
              </w:rPr>
              <w:t>2</w:t>
            </w:r>
          </w:p>
        </w:tc>
        <w:tc>
          <w:tcPr>
            <w:tcW w:w="4510" w:type="dxa"/>
            <w:shd w:val="clear" w:color="auto" w:fill="auto"/>
          </w:tcPr>
          <w:p w:rsidR="00345F8E" w:rsidRPr="00345F8E" w:rsidRDefault="00345F8E" w:rsidP="00417FB3">
            <w:pPr>
              <w:pStyle w:val="Style76"/>
              <w:rPr>
                <w:rFonts w:ascii="Cambria" w:hAnsi="Cambria"/>
                <w:sz w:val="22"/>
                <w:szCs w:val="22"/>
              </w:rPr>
            </w:pPr>
            <w:r w:rsidRPr="00345F8E">
              <w:rPr>
                <w:rFonts w:ascii="Cambria" w:hAnsi="Cambria"/>
                <w:sz w:val="22"/>
                <w:szCs w:val="22"/>
              </w:rPr>
              <w:t xml:space="preserve">Предложение, което отговаря на предварително обявените изисквания на възложителя, съдържа задължително изискуемите елементи и в своята последователност гарантира навременното и спрямо минималните изисквания на техническата спецификация постигане на резултатите </w:t>
            </w:r>
            <w:r w:rsidRPr="00F73C2B">
              <w:rPr>
                <w:rFonts w:ascii="Cambria" w:hAnsi="Cambria"/>
                <w:i/>
                <w:sz w:val="22"/>
                <w:szCs w:val="22"/>
              </w:rPr>
              <w:t>и съдържа поне едно</w:t>
            </w:r>
            <w:r w:rsidRPr="00345F8E">
              <w:rPr>
                <w:rFonts w:ascii="Cambria" w:hAnsi="Cambria"/>
                <w:sz w:val="22"/>
                <w:szCs w:val="22"/>
              </w:rPr>
              <w:t xml:space="preserve"> от следните допълнителни надграждащи предложението за изпълнение условия:</w:t>
            </w:r>
          </w:p>
          <w:p w:rsidR="00345F8E" w:rsidRPr="00345F8E" w:rsidRDefault="00345F8E" w:rsidP="00417FB3">
            <w:pPr>
              <w:pStyle w:val="Style76"/>
              <w:numPr>
                <w:ilvl w:val="0"/>
                <w:numId w:val="4"/>
              </w:numPr>
              <w:ind w:left="0" w:firstLine="360"/>
              <w:rPr>
                <w:rFonts w:ascii="Cambria" w:hAnsi="Cambria"/>
                <w:sz w:val="22"/>
                <w:szCs w:val="22"/>
              </w:rPr>
            </w:pPr>
            <w:r w:rsidRPr="00345F8E">
              <w:rPr>
                <w:rFonts w:ascii="Cambria" w:hAnsi="Cambria"/>
                <w:sz w:val="22"/>
                <w:szCs w:val="22"/>
              </w:rPr>
              <w:t xml:space="preserve">Представен е подход за изработка, доставка и монтаж на дограма. Всички изложени методи са приложими. От описанието е видно, че ще бъдат изпълнени всички изисквания на възложителя и нормативните актове. </w:t>
            </w:r>
          </w:p>
          <w:p w:rsidR="00345F8E" w:rsidRPr="00345F8E" w:rsidRDefault="00345F8E" w:rsidP="00417FB3">
            <w:pPr>
              <w:pStyle w:val="Style76"/>
              <w:numPr>
                <w:ilvl w:val="0"/>
                <w:numId w:val="4"/>
              </w:numPr>
              <w:ind w:left="-20" w:firstLine="380"/>
              <w:rPr>
                <w:rFonts w:ascii="Cambria" w:hAnsi="Cambria"/>
                <w:sz w:val="22"/>
                <w:szCs w:val="22"/>
              </w:rPr>
            </w:pPr>
            <w:r w:rsidRPr="00345F8E">
              <w:rPr>
                <w:rFonts w:ascii="Cambria" w:hAnsi="Cambria"/>
                <w:sz w:val="22"/>
                <w:szCs w:val="22"/>
              </w:rPr>
              <w:t xml:space="preserve">Представен е подход за входящ контрол на качеството при получаване на </w:t>
            </w:r>
            <w:r w:rsidRPr="00345F8E">
              <w:rPr>
                <w:rFonts w:ascii="Cambria" w:hAnsi="Cambria"/>
                <w:sz w:val="22"/>
                <w:szCs w:val="22"/>
              </w:rPr>
              <w:lastRenderedPageBreak/>
              <w:t xml:space="preserve">материалите. Всички изложени методи са приложими. От описанието е видно, че ще бъдат спазени всички изисквания на Възложителя и нормативните актове.   </w:t>
            </w:r>
          </w:p>
        </w:tc>
        <w:tc>
          <w:tcPr>
            <w:tcW w:w="1677" w:type="dxa"/>
            <w:shd w:val="clear" w:color="auto" w:fill="auto"/>
            <w:vAlign w:val="center"/>
          </w:tcPr>
          <w:p w:rsidR="00345F8E" w:rsidRPr="00345F8E" w:rsidRDefault="00345F8E" w:rsidP="00CC186D">
            <w:pPr>
              <w:pStyle w:val="Style76"/>
              <w:jc w:val="center"/>
              <w:rPr>
                <w:rFonts w:ascii="Cambria" w:hAnsi="Cambria"/>
                <w:sz w:val="22"/>
                <w:szCs w:val="22"/>
              </w:rPr>
            </w:pPr>
            <w:r w:rsidRPr="00345F8E">
              <w:rPr>
                <w:rFonts w:ascii="Cambria" w:hAnsi="Cambria"/>
                <w:sz w:val="22"/>
                <w:szCs w:val="22"/>
                <w:lang w:val="en-US"/>
              </w:rPr>
              <w:lastRenderedPageBreak/>
              <w:t>3</w:t>
            </w:r>
            <w:r w:rsidRPr="00345F8E">
              <w:rPr>
                <w:rFonts w:ascii="Cambria" w:hAnsi="Cambria"/>
                <w:sz w:val="22"/>
                <w:szCs w:val="22"/>
              </w:rPr>
              <w:t>0</w:t>
            </w:r>
          </w:p>
        </w:tc>
      </w:tr>
      <w:tr w:rsidR="00345F8E" w:rsidRPr="00345F8E" w:rsidDel="001563FB" w:rsidTr="00CC186D">
        <w:tc>
          <w:tcPr>
            <w:tcW w:w="715" w:type="dxa"/>
          </w:tcPr>
          <w:p w:rsidR="00345F8E" w:rsidRPr="00345F8E" w:rsidRDefault="00345F8E" w:rsidP="00345F8E">
            <w:pPr>
              <w:pStyle w:val="Style76"/>
              <w:ind w:firstLine="720"/>
              <w:rPr>
                <w:rFonts w:ascii="Cambria" w:hAnsi="Cambria"/>
                <w:sz w:val="22"/>
                <w:szCs w:val="22"/>
              </w:rPr>
            </w:pPr>
          </w:p>
        </w:tc>
        <w:tc>
          <w:tcPr>
            <w:tcW w:w="2340" w:type="dxa"/>
            <w:vAlign w:val="center"/>
          </w:tcPr>
          <w:p w:rsidR="00345F8E" w:rsidRPr="00345F8E" w:rsidRDefault="00345F8E" w:rsidP="00417FB3">
            <w:pPr>
              <w:pStyle w:val="Style76"/>
              <w:jc w:val="center"/>
              <w:rPr>
                <w:rFonts w:ascii="Cambria" w:hAnsi="Cambria"/>
                <w:sz w:val="22"/>
                <w:szCs w:val="22"/>
              </w:rPr>
            </w:pPr>
            <w:r w:rsidRPr="00F73C2B">
              <w:rPr>
                <w:rFonts w:ascii="Cambria" w:hAnsi="Cambria"/>
                <w:sz w:val="22"/>
                <w:szCs w:val="22"/>
              </w:rPr>
              <w:t>Подпоказател К2.1.</w:t>
            </w:r>
            <w:r w:rsidR="00F73C2B" w:rsidRPr="00F73C2B">
              <w:rPr>
                <w:rFonts w:ascii="Cambria" w:hAnsi="Cambria"/>
                <w:sz w:val="22"/>
                <w:szCs w:val="22"/>
              </w:rPr>
              <w:t>3</w:t>
            </w:r>
          </w:p>
        </w:tc>
        <w:tc>
          <w:tcPr>
            <w:tcW w:w="4510" w:type="dxa"/>
            <w:shd w:val="clear" w:color="auto" w:fill="auto"/>
          </w:tcPr>
          <w:p w:rsidR="00345F8E" w:rsidRPr="00345F8E" w:rsidRDefault="00345F8E" w:rsidP="00417FB3">
            <w:pPr>
              <w:pStyle w:val="Style76"/>
              <w:rPr>
                <w:rFonts w:ascii="Cambria" w:hAnsi="Cambria"/>
                <w:sz w:val="22"/>
                <w:szCs w:val="22"/>
              </w:rPr>
            </w:pPr>
            <w:r w:rsidRPr="00345F8E">
              <w:rPr>
                <w:rFonts w:ascii="Cambria" w:hAnsi="Cambria"/>
                <w:sz w:val="22"/>
                <w:szCs w:val="22"/>
              </w:rPr>
              <w:t xml:space="preserve">Предложение, което отговаря на предварително обявените изисквания на възложителя, съдържа задължително изискуемите елементи и в своята последователност гарантира навременното и спрямо минималните изисквания на техническата спецификация постигане на резултатите и </w:t>
            </w:r>
            <w:r w:rsidRPr="00CC186D">
              <w:rPr>
                <w:rFonts w:ascii="Cambria" w:hAnsi="Cambria"/>
                <w:i/>
                <w:sz w:val="22"/>
                <w:szCs w:val="22"/>
              </w:rPr>
              <w:t>съдържа всички</w:t>
            </w:r>
            <w:r w:rsidRPr="00345F8E">
              <w:rPr>
                <w:rFonts w:ascii="Cambria" w:hAnsi="Cambria"/>
                <w:sz w:val="22"/>
                <w:szCs w:val="22"/>
              </w:rPr>
              <w:t xml:space="preserve"> от следните допълнителни надграждащи предложението за изпълнение условия:</w:t>
            </w:r>
          </w:p>
          <w:p w:rsidR="00345F8E" w:rsidRPr="00345F8E" w:rsidRDefault="00345F8E" w:rsidP="00CC186D">
            <w:pPr>
              <w:pStyle w:val="Style76"/>
              <w:numPr>
                <w:ilvl w:val="0"/>
                <w:numId w:val="5"/>
              </w:numPr>
              <w:ind w:left="0" w:firstLine="360"/>
              <w:rPr>
                <w:rFonts w:ascii="Cambria" w:hAnsi="Cambria"/>
                <w:sz w:val="22"/>
                <w:szCs w:val="22"/>
              </w:rPr>
            </w:pPr>
            <w:r w:rsidRPr="00345F8E">
              <w:rPr>
                <w:rFonts w:ascii="Cambria" w:hAnsi="Cambria"/>
                <w:sz w:val="22"/>
                <w:szCs w:val="22"/>
              </w:rPr>
              <w:t xml:space="preserve">Представен е подход за изработка, доставка и монтаж на дограма. Всички изложени методи са приложими. От описанието е видно, че ще бъдат изпълнени всички изисквания на възложителя и нормативните актове. </w:t>
            </w:r>
          </w:p>
          <w:p w:rsidR="00345F8E" w:rsidRPr="00345F8E" w:rsidRDefault="00345F8E" w:rsidP="00CC186D">
            <w:pPr>
              <w:pStyle w:val="Style76"/>
              <w:numPr>
                <w:ilvl w:val="0"/>
                <w:numId w:val="5"/>
              </w:numPr>
              <w:ind w:left="0" w:firstLine="360"/>
              <w:rPr>
                <w:rFonts w:ascii="Cambria" w:hAnsi="Cambria"/>
                <w:sz w:val="22"/>
                <w:szCs w:val="22"/>
              </w:rPr>
            </w:pPr>
            <w:r w:rsidRPr="00345F8E">
              <w:rPr>
                <w:rFonts w:ascii="Cambria" w:hAnsi="Cambria"/>
                <w:sz w:val="22"/>
                <w:szCs w:val="22"/>
              </w:rPr>
              <w:t xml:space="preserve">Представен е подход за входящ контрол на качеството при получаване на материалите. Всички изложени методи са приложими. От описанието е видно, че ще бъдат спазени всички изисквания на Възложителя и нормативните актове.   </w:t>
            </w:r>
          </w:p>
        </w:tc>
        <w:tc>
          <w:tcPr>
            <w:tcW w:w="1677" w:type="dxa"/>
            <w:shd w:val="clear" w:color="auto" w:fill="auto"/>
            <w:vAlign w:val="center"/>
          </w:tcPr>
          <w:p w:rsidR="00345F8E" w:rsidRPr="00345F8E" w:rsidDel="001563FB" w:rsidRDefault="00345F8E" w:rsidP="00CC186D">
            <w:pPr>
              <w:pStyle w:val="Style76"/>
              <w:jc w:val="center"/>
              <w:rPr>
                <w:rFonts w:ascii="Cambria" w:hAnsi="Cambria"/>
                <w:sz w:val="22"/>
                <w:szCs w:val="22"/>
              </w:rPr>
            </w:pPr>
            <w:r w:rsidRPr="00345F8E">
              <w:rPr>
                <w:rFonts w:ascii="Cambria" w:hAnsi="Cambria"/>
                <w:sz w:val="22"/>
                <w:szCs w:val="22"/>
                <w:lang w:val="en-US"/>
              </w:rPr>
              <w:t>5</w:t>
            </w:r>
            <w:r w:rsidRPr="00345F8E">
              <w:rPr>
                <w:rFonts w:ascii="Cambria" w:hAnsi="Cambria"/>
                <w:sz w:val="22"/>
                <w:szCs w:val="22"/>
              </w:rPr>
              <w:t>0</w:t>
            </w:r>
          </w:p>
        </w:tc>
      </w:tr>
      <w:tr w:rsidR="00345F8E" w:rsidRPr="00345F8E" w:rsidTr="00F73C2B">
        <w:tc>
          <w:tcPr>
            <w:tcW w:w="715" w:type="dxa"/>
            <w:shd w:val="clear" w:color="auto" w:fill="E2EFD9" w:themeFill="accent6" w:themeFillTint="33"/>
          </w:tcPr>
          <w:p w:rsidR="00345F8E" w:rsidRPr="00CC186D" w:rsidRDefault="00345F8E" w:rsidP="00345F8E">
            <w:pPr>
              <w:pStyle w:val="Style76"/>
              <w:ind w:firstLine="720"/>
              <w:rPr>
                <w:rFonts w:ascii="Cambria" w:hAnsi="Cambria"/>
                <w:b/>
                <w:sz w:val="22"/>
                <w:szCs w:val="22"/>
              </w:rPr>
            </w:pPr>
          </w:p>
        </w:tc>
        <w:tc>
          <w:tcPr>
            <w:tcW w:w="2340" w:type="dxa"/>
            <w:shd w:val="clear" w:color="auto" w:fill="E2EFD9" w:themeFill="accent6" w:themeFillTint="33"/>
          </w:tcPr>
          <w:p w:rsidR="00345F8E" w:rsidRPr="00CC186D" w:rsidRDefault="00345F8E" w:rsidP="00345F8E">
            <w:pPr>
              <w:pStyle w:val="Style76"/>
              <w:ind w:firstLine="720"/>
              <w:rPr>
                <w:rFonts w:ascii="Cambria" w:hAnsi="Cambria"/>
                <w:b/>
                <w:sz w:val="22"/>
                <w:szCs w:val="22"/>
              </w:rPr>
            </w:pPr>
          </w:p>
        </w:tc>
        <w:tc>
          <w:tcPr>
            <w:tcW w:w="4510" w:type="dxa"/>
            <w:shd w:val="clear" w:color="auto" w:fill="E2EFD9" w:themeFill="accent6" w:themeFillTint="33"/>
          </w:tcPr>
          <w:p w:rsidR="00345F8E" w:rsidRPr="00CC186D" w:rsidRDefault="00345F8E" w:rsidP="00345F8E">
            <w:pPr>
              <w:pStyle w:val="Style76"/>
              <w:ind w:firstLine="720"/>
              <w:rPr>
                <w:rFonts w:ascii="Cambria" w:hAnsi="Cambria"/>
                <w:b/>
                <w:sz w:val="22"/>
                <w:szCs w:val="22"/>
              </w:rPr>
            </w:pPr>
            <w:r w:rsidRPr="00CC186D">
              <w:rPr>
                <w:rFonts w:ascii="Cambria" w:hAnsi="Cambria"/>
                <w:b/>
                <w:sz w:val="22"/>
                <w:szCs w:val="22"/>
              </w:rPr>
              <w:t xml:space="preserve">Подпоказател К 2.2. </w:t>
            </w:r>
          </w:p>
        </w:tc>
        <w:tc>
          <w:tcPr>
            <w:tcW w:w="1677" w:type="dxa"/>
            <w:shd w:val="clear" w:color="auto" w:fill="E2EFD9" w:themeFill="accent6" w:themeFillTint="33"/>
          </w:tcPr>
          <w:p w:rsidR="00345F8E" w:rsidRPr="00CC186D" w:rsidRDefault="00345F8E" w:rsidP="00CC186D">
            <w:pPr>
              <w:pStyle w:val="Style76"/>
              <w:ind w:hanging="30"/>
              <w:jc w:val="center"/>
              <w:rPr>
                <w:rFonts w:ascii="Cambria" w:hAnsi="Cambria"/>
                <w:b/>
                <w:sz w:val="22"/>
                <w:szCs w:val="22"/>
              </w:rPr>
            </w:pPr>
            <w:r w:rsidRPr="00CC186D">
              <w:rPr>
                <w:rFonts w:ascii="Cambria" w:hAnsi="Cambria"/>
                <w:b/>
                <w:sz w:val="22"/>
                <w:szCs w:val="22"/>
              </w:rPr>
              <w:t>10</w:t>
            </w:r>
          </w:p>
        </w:tc>
      </w:tr>
      <w:tr w:rsidR="004E32AA" w:rsidRPr="00345F8E" w:rsidTr="00CC186D">
        <w:trPr>
          <w:trHeight w:val="1690"/>
        </w:trPr>
        <w:tc>
          <w:tcPr>
            <w:tcW w:w="715" w:type="dxa"/>
            <w:vMerge w:val="restart"/>
            <w:vAlign w:val="center"/>
          </w:tcPr>
          <w:p w:rsidR="004E32AA" w:rsidRPr="00345F8E" w:rsidRDefault="00CC186D" w:rsidP="00CC186D">
            <w:pPr>
              <w:pStyle w:val="Style76"/>
              <w:ind w:firstLine="720"/>
              <w:jc w:val="right"/>
              <w:rPr>
                <w:rFonts w:ascii="Cambria" w:hAnsi="Cambria"/>
                <w:sz w:val="22"/>
                <w:szCs w:val="22"/>
              </w:rPr>
            </w:pPr>
            <w:r>
              <w:rPr>
                <w:rFonts w:ascii="Cambria" w:hAnsi="Cambria"/>
                <w:sz w:val="22"/>
                <w:szCs w:val="22"/>
              </w:rPr>
              <w:t>2</w:t>
            </w:r>
            <w:r w:rsidR="004E32AA" w:rsidRPr="00345F8E">
              <w:rPr>
                <w:rFonts w:ascii="Cambria" w:hAnsi="Cambria"/>
                <w:sz w:val="22"/>
                <w:szCs w:val="22"/>
              </w:rPr>
              <w:t>2</w:t>
            </w:r>
            <w:r>
              <w:rPr>
                <w:rFonts w:ascii="Cambria" w:hAnsi="Cambria"/>
                <w:sz w:val="22"/>
                <w:szCs w:val="22"/>
              </w:rPr>
              <w:t>.</w:t>
            </w:r>
          </w:p>
        </w:tc>
        <w:tc>
          <w:tcPr>
            <w:tcW w:w="2340" w:type="dxa"/>
            <w:vMerge w:val="restart"/>
            <w:vAlign w:val="center"/>
          </w:tcPr>
          <w:p w:rsidR="004E32AA" w:rsidRPr="00345F8E" w:rsidRDefault="004E32AA" w:rsidP="00417FB3">
            <w:pPr>
              <w:pStyle w:val="Style76"/>
              <w:jc w:val="center"/>
              <w:rPr>
                <w:rFonts w:ascii="Cambria" w:hAnsi="Cambria"/>
                <w:sz w:val="22"/>
                <w:szCs w:val="22"/>
              </w:rPr>
            </w:pPr>
            <w:r w:rsidRPr="00345F8E">
              <w:rPr>
                <w:rFonts w:ascii="Cambria" w:hAnsi="Cambria"/>
                <w:sz w:val="22"/>
                <w:szCs w:val="22"/>
              </w:rPr>
              <w:t>Подпоказател К2.2</w:t>
            </w:r>
            <w:r w:rsidR="00CC186D">
              <w:rPr>
                <w:rFonts w:ascii="Cambria" w:hAnsi="Cambria"/>
                <w:sz w:val="22"/>
                <w:szCs w:val="22"/>
              </w:rPr>
              <w:t>.</w:t>
            </w:r>
          </w:p>
        </w:tc>
        <w:tc>
          <w:tcPr>
            <w:tcW w:w="4510" w:type="dxa"/>
            <w:shd w:val="clear" w:color="auto" w:fill="auto"/>
          </w:tcPr>
          <w:p w:rsidR="004E32AA" w:rsidRPr="00345F8E" w:rsidRDefault="004E32AA" w:rsidP="00417FB3">
            <w:pPr>
              <w:pStyle w:val="Style76"/>
              <w:ind w:hanging="20"/>
              <w:rPr>
                <w:rFonts w:ascii="Cambria" w:hAnsi="Cambria"/>
                <w:sz w:val="22"/>
                <w:szCs w:val="22"/>
              </w:rPr>
            </w:pPr>
            <w:r w:rsidRPr="00345F8E">
              <w:rPr>
                <w:rFonts w:ascii="Cambria" w:hAnsi="Cambria"/>
                <w:sz w:val="22"/>
                <w:szCs w:val="22"/>
              </w:rPr>
              <w:t xml:space="preserve">Предложени са мерки, които участникът ще предприеме при настъпване на критични точки, идентифицирани от възложителя като рискови, както следва: </w:t>
            </w:r>
          </w:p>
          <w:p w:rsidR="004E32AA" w:rsidRPr="00345F8E" w:rsidRDefault="004E32AA" w:rsidP="00417FB3">
            <w:pPr>
              <w:pStyle w:val="Style76"/>
              <w:ind w:hanging="20"/>
              <w:rPr>
                <w:rFonts w:ascii="Cambria" w:hAnsi="Cambria"/>
                <w:sz w:val="22"/>
                <w:szCs w:val="22"/>
              </w:rPr>
            </w:pPr>
            <w:r w:rsidRPr="004E32AA">
              <w:rPr>
                <w:rFonts w:ascii="Cambria" w:hAnsi="Cambria"/>
                <w:i/>
                <w:sz w:val="22"/>
                <w:szCs w:val="22"/>
              </w:rPr>
              <w:t>Критична точка 1</w:t>
            </w:r>
            <w:r w:rsidRPr="00345F8E">
              <w:rPr>
                <w:rFonts w:ascii="Cambria" w:hAnsi="Cambria"/>
                <w:sz w:val="22"/>
                <w:szCs w:val="22"/>
              </w:rPr>
              <w:t xml:space="preserve"> – забава при стартиране на работата. Участникът получава 2 точка.</w:t>
            </w:r>
          </w:p>
        </w:tc>
        <w:tc>
          <w:tcPr>
            <w:tcW w:w="1677" w:type="dxa"/>
            <w:shd w:val="clear" w:color="auto" w:fill="auto"/>
            <w:vAlign w:val="center"/>
          </w:tcPr>
          <w:p w:rsidR="004E32AA" w:rsidRPr="00345F8E" w:rsidRDefault="004E32AA" w:rsidP="004E32AA">
            <w:pPr>
              <w:pStyle w:val="Style76"/>
              <w:jc w:val="center"/>
              <w:rPr>
                <w:rFonts w:ascii="Cambria" w:hAnsi="Cambria"/>
                <w:sz w:val="22"/>
                <w:szCs w:val="22"/>
              </w:rPr>
            </w:pPr>
            <w:r w:rsidRPr="00345F8E">
              <w:rPr>
                <w:rFonts w:ascii="Cambria" w:hAnsi="Cambria"/>
                <w:sz w:val="22"/>
                <w:szCs w:val="22"/>
              </w:rPr>
              <w:t>2</w:t>
            </w:r>
          </w:p>
        </w:tc>
      </w:tr>
      <w:tr w:rsidR="004E32AA" w:rsidRPr="00345F8E" w:rsidTr="00F73C2B">
        <w:trPr>
          <w:trHeight w:val="1050"/>
        </w:trPr>
        <w:tc>
          <w:tcPr>
            <w:tcW w:w="715" w:type="dxa"/>
            <w:vMerge/>
          </w:tcPr>
          <w:p w:rsidR="004E32AA" w:rsidRPr="00345F8E" w:rsidRDefault="004E32AA" w:rsidP="00345F8E">
            <w:pPr>
              <w:pStyle w:val="Style76"/>
              <w:ind w:firstLine="720"/>
              <w:rPr>
                <w:rFonts w:ascii="Cambria" w:hAnsi="Cambria"/>
                <w:sz w:val="22"/>
                <w:szCs w:val="22"/>
              </w:rPr>
            </w:pPr>
          </w:p>
        </w:tc>
        <w:tc>
          <w:tcPr>
            <w:tcW w:w="2340" w:type="dxa"/>
            <w:vMerge/>
            <w:vAlign w:val="center"/>
          </w:tcPr>
          <w:p w:rsidR="004E32AA" w:rsidRPr="00345F8E" w:rsidRDefault="004E32AA" w:rsidP="00417FB3">
            <w:pPr>
              <w:pStyle w:val="Style76"/>
              <w:jc w:val="center"/>
              <w:rPr>
                <w:rFonts w:ascii="Cambria" w:hAnsi="Cambria"/>
                <w:sz w:val="22"/>
                <w:szCs w:val="22"/>
              </w:rPr>
            </w:pPr>
          </w:p>
        </w:tc>
        <w:tc>
          <w:tcPr>
            <w:tcW w:w="4510" w:type="dxa"/>
            <w:shd w:val="clear" w:color="auto" w:fill="auto"/>
          </w:tcPr>
          <w:p w:rsidR="004E32AA" w:rsidRPr="00345F8E" w:rsidRDefault="004E32AA" w:rsidP="004E32AA">
            <w:pPr>
              <w:pStyle w:val="Style76"/>
              <w:ind w:hanging="20"/>
              <w:rPr>
                <w:rFonts w:ascii="Cambria" w:hAnsi="Cambria"/>
                <w:sz w:val="22"/>
                <w:szCs w:val="22"/>
              </w:rPr>
            </w:pPr>
          </w:p>
          <w:p w:rsidR="004E32AA" w:rsidRPr="00345F8E" w:rsidRDefault="004E32AA" w:rsidP="004E32AA">
            <w:pPr>
              <w:pStyle w:val="Style76"/>
              <w:ind w:hanging="20"/>
              <w:rPr>
                <w:rFonts w:ascii="Cambria" w:hAnsi="Cambria"/>
                <w:sz w:val="22"/>
                <w:szCs w:val="22"/>
              </w:rPr>
            </w:pPr>
            <w:r w:rsidRPr="004E32AA">
              <w:rPr>
                <w:rFonts w:ascii="Cambria" w:hAnsi="Cambria"/>
                <w:i/>
                <w:sz w:val="22"/>
                <w:szCs w:val="22"/>
              </w:rPr>
              <w:t>Критична точка 2</w:t>
            </w:r>
            <w:r w:rsidRPr="00345F8E">
              <w:rPr>
                <w:rFonts w:ascii="Cambria" w:hAnsi="Cambria"/>
                <w:sz w:val="22"/>
                <w:szCs w:val="22"/>
              </w:rPr>
              <w:t xml:space="preserve"> – изоставане от графика при текущо изпълнение на СМР. Участникът получава 3 точка.</w:t>
            </w:r>
          </w:p>
        </w:tc>
        <w:tc>
          <w:tcPr>
            <w:tcW w:w="1677" w:type="dxa"/>
            <w:shd w:val="clear" w:color="auto" w:fill="auto"/>
            <w:vAlign w:val="center"/>
          </w:tcPr>
          <w:p w:rsidR="004E32AA" w:rsidRPr="00345F8E" w:rsidRDefault="004E32AA" w:rsidP="004E32AA">
            <w:pPr>
              <w:pStyle w:val="Style76"/>
              <w:ind w:hanging="30"/>
              <w:jc w:val="center"/>
              <w:rPr>
                <w:rFonts w:ascii="Cambria" w:hAnsi="Cambria"/>
                <w:sz w:val="22"/>
                <w:szCs w:val="22"/>
              </w:rPr>
            </w:pPr>
            <w:r w:rsidRPr="00345F8E">
              <w:rPr>
                <w:rFonts w:ascii="Cambria" w:hAnsi="Cambria"/>
                <w:sz w:val="22"/>
                <w:szCs w:val="22"/>
              </w:rPr>
              <w:t>3</w:t>
            </w:r>
          </w:p>
        </w:tc>
      </w:tr>
      <w:tr w:rsidR="004E32AA" w:rsidRPr="00345F8E" w:rsidTr="00F73C2B">
        <w:trPr>
          <w:trHeight w:val="830"/>
        </w:trPr>
        <w:tc>
          <w:tcPr>
            <w:tcW w:w="715" w:type="dxa"/>
            <w:vMerge/>
          </w:tcPr>
          <w:p w:rsidR="004E32AA" w:rsidRPr="00345F8E" w:rsidRDefault="004E32AA" w:rsidP="00345F8E">
            <w:pPr>
              <w:pStyle w:val="Style76"/>
              <w:ind w:firstLine="720"/>
              <w:rPr>
                <w:rFonts w:ascii="Cambria" w:hAnsi="Cambria"/>
                <w:sz w:val="22"/>
                <w:szCs w:val="22"/>
              </w:rPr>
            </w:pPr>
          </w:p>
        </w:tc>
        <w:tc>
          <w:tcPr>
            <w:tcW w:w="2340" w:type="dxa"/>
            <w:vMerge/>
            <w:vAlign w:val="center"/>
          </w:tcPr>
          <w:p w:rsidR="004E32AA" w:rsidRPr="00345F8E" w:rsidRDefault="004E32AA" w:rsidP="00417FB3">
            <w:pPr>
              <w:pStyle w:val="Style76"/>
              <w:jc w:val="center"/>
              <w:rPr>
                <w:rFonts w:ascii="Cambria" w:hAnsi="Cambria"/>
                <w:sz w:val="22"/>
                <w:szCs w:val="22"/>
              </w:rPr>
            </w:pPr>
          </w:p>
        </w:tc>
        <w:tc>
          <w:tcPr>
            <w:tcW w:w="4510" w:type="dxa"/>
            <w:shd w:val="clear" w:color="auto" w:fill="auto"/>
          </w:tcPr>
          <w:p w:rsidR="004E32AA" w:rsidRPr="00345F8E" w:rsidRDefault="004E32AA" w:rsidP="004E32AA">
            <w:pPr>
              <w:pStyle w:val="Style76"/>
              <w:ind w:hanging="20"/>
              <w:rPr>
                <w:rFonts w:ascii="Cambria" w:hAnsi="Cambria"/>
                <w:sz w:val="22"/>
                <w:szCs w:val="22"/>
              </w:rPr>
            </w:pPr>
            <w:r w:rsidRPr="004E32AA">
              <w:rPr>
                <w:rFonts w:ascii="Cambria" w:hAnsi="Cambria"/>
                <w:i/>
                <w:sz w:val="22"/>
                <w:szCs w:val="22"/>
              </w:rPr>
              <w:t>Критична точка 3</w:t>
            </w:r>
            <w:r w:rsidRPr="00345F8E">
              <w:rPr>
                <w:rFonts w:ascii="Cambria" w:hAnsi="Cambria"/>
                <w:sz w:val="22"/>
                <w:szCs w:val="22"/>
              </w:rPr>
              <w:t xml:space="preserve"> – закъснение за окончателно приключване на работите. Участникът получава 3 точка.</w:t>
            </w:r>
          </w:p>
        </w:tc>
        <w:tc>
          <w:tcPr>
            <w:tcW w:w="1677" w:type="dxa"/>
            <w:shd w:val="clear" w:color="auto" w:fill="auto"/>
            <w:vAlign w:val="center"/>
          </w:tcPr>
          <w:p w:rsidR="004E32AA" w:rsidRPr="00345F8E" w:rsidRDefault="004E32AA" w:rsidP="004E32AA">
            <w:pPr>
              <w:pStyle w:val="Style76"/>
              <w:jc w:val="center"/>
              <w:rPr>
                <w:rFonts w:ascii="Cambria" w:hAnsi="Cambria"/>
                <w:sz w:val="22"/>
                <w:szCs w:val="22"/>
              </w:rPr>
            </w:pPr>
            <w:r w:rsidRPr="00345F8E">
              <w:rPr>
                <w:rFonts w:ascii="Cambria" w:hAnsi="Cambria"/>
                <w:sz w:val="22"/>
                <w:szCs w:val="22"/>
              </w:rPr>
              <w:t>3</w:t>
            </w:r>
          </w:p>
        </w:tc>
      </w:tr>
      <w:tr w:rsidR="004E32AA" w:rsidRPr="00345F8E" w:rsidTr="00F73C2B">
        <w:trPr>
          <w:trHeight w:val="1130"/>
        </w:trPr>
        <w:tc>
          <w:tcPr>
            <w:tcW w:w="715" w:type="dxa"/>
            <w:vMerge/>
          </w:tcPr>
          <w:p w:rsidR="004E32AA" w:rsidRPr="00345F8E" w:rsidRDefault="004E32AA" w:rsidP="00345F8E">
            <w:pPr>
              <w:pStyle w:val="Style76"/>
              <w:ind w:firstLine="720"/>
              <w:rPr>
                <w:rFonts w:ascii="Cambria" w:hAnsi="Cambria"/>
                <w:sz w:val="22"/>
                <w:szCs w:val="22"/>
              </w:rPr>
            </w:pPr>
          </w:p>
        </w:tc>
        <w:tc>
          <w:tcPr>
            <w:tcW w:w="2340" w:type="dxa"/>
            <w:vMerge/>
            <w:vAlign w:val="center"/>
          </w:tcPr>
          <w:p w:rsidR="004E32AA" w:rsidRPr="00345F8E" w:rsidRDefault="004E32AA" w:rsidP="00417FB3">
            <w:pPr>
              <w:pStyle w:val="Style76"/>
              <w:jc w:val="center"/>
              <w:rPr>
                <w:rFonts w:ascii="Cambria" w:hAnsi="Cambria"/>
                <w:sz w:val="22"/>
                <w:szCs w:val="22"/>
              </w:rPr>
            </w:pPr>
          </w:p>
        </w:tc>
        <w:tc>
          <w:tcPr>
            <w:tcW w:w="4510" w:type="dxa"/>
            <w:shd w:val="clear" w:color="auto" w:fill="auto"/>
          </w:tcPr>
          <w:p w:rsidR="004E32AA" w:rsidRPr="00345F8E" w:rsidRDefault="004E32AA" w:rsidP="004E32AA">
            <w:pPr>
              <w:pStyle w:val="Style76"/>
              <w:ind w:hanging="20"/>
              <w:rPr>
                <w:rFonts w:ascii="Cambria" w:hAnsi="Cambria"/>
                <w:sz w:val="22"/>
                <w:szCs w:val="22"/>
              </w:rPr>
            </w:pPr>
            <w:r w:rsidRPr="004E32AA">
              <w:rPr>
                <w:rFonts w:ascii="Cambria" w:hAnsi="Cambria"/>
                <w:i/>
                <w:sz w:val="22"/>
                <w:szCs w:val="22"/>
              </w:rPr>
              <w:t>Критична точка 4</w:t>
            </w:r>
            <w:r w:rsidRPr="00345F8E">
              <w:rPr>
                <w:rFonts w:ascii="Cambria" w:hAnsi="Cambria"/>
                <w:sz w:val="22"/>
                <w:szCs w:val="22"/>
              </w:rPr>
              <w:t xml:space="preserve"> – липса/недостатъчно</w:t>
            </w:r>
          </w:p>
          <w:p w:rsidR="004E32AA" w:rsidRDefault="004E32AA" w:rsidP="004E32AA">
            <w:pPr>
              <w:pStyle w:val="Style76"/>
              <w:ind w:hanging="20"/>
              <w:rPr>
                <w:rFonts w:ascii="Cambria" w:hAnsi="Cambria"/>
                <w:sz w:val="22"/>
                <w:szCs w:val="22"/>
              </w:rPr>
            </w:pPr>
            <w:r w:rsidRPr="00345F8E">
              <w:rPr>
                <w:rFonts w:ascii="Cambria" w:hAnsi="Cambria"/>
                <w:sz w:val="22"/>
                <w:szCs w:val="22"/>
              </w:rPr>
              <w:t xml:space="preserve"> съдействие и/или информация от страна на други участници в строителния процес. Участникът получава 2 точка.</w:t>
            </w:r>
          </w:p>
          <w:p w:rsidR="004E32AA" w:rsidRPr="00345F8E" w:rsidRDefault="004E32AA" w:rsidP="004E32AA">
            <w:pPr>
              <w:pStyle w:val="Style76"/>
              <w:ind w:hanging="20"/>
              <w:rPr>
                <w:rFonts w:ascii="Cambria" w:hAnsi="Cambria"/>
                <w:sz w:val="22"/>
                <w:szCs w:val="22"/>
              </w:rPr>
            </w:pPr>
          </w:p>
          <w:p w:rsidR="004E32AA" w:rsidRPr="00345F8E" w:rsidRDefault="004E32AA" w:rsidP="004E32AA">
            <w:pPr>
              <w:pStyle w:val="Style76"/>
              <w:rPr>
                <w:rFonts w:ascii="Cambria" w:hAnsi="Cambria"/>
                <w:sz w:val="22"/>
                <w:szCs w:val="22"/>
              </w:rPr>
            </w:pPr>
            <w:r w:rsidRPr="00345F8E">
              <w:rPr>
                <w:rFonts w:ascii="Cambria" w:hAnsi="Cambria"/>
                <w:sz w:val="22"/>
                <w:szCs w:val="22"/>
              </w:rPr>
              <w:t xml:space="preserve">Участниците получават посочения брой точки за всяка критична точка в случай, че предложените мерки са приложими и </w:t>
            </w:r>
            <w:r w:rsidRPr="00345F8E">
              <w:rPr>
                <w:rFonts w:ascii="Cambria" w:hAnsi="Cambria"/>
                <w:sz w:val="22"/>
                <w:szCs w:val="22"/>
              </w:rPr>
              <w:lastRenderedPageBreak/>
              <w:t xml:space="preserve">относими към съответната критична точка. </w:t>
            </w:r>
          </w:p>
        </w:tc>
        <w:tc>
          <w:tcPr>
            <w:tcW w:w="1677" w:type="dxa"/>
            <w:shd w:val="clear" w:color="auto" w:fill="auto"/>
            <w:vAlign w:val="center"/>
          </w:tcPr>
          <w:p w:rsidR="004E32AA" w:rsidRPr="00345F8E" w:rsidRDefault="004E32AA" w:rsidP="004E32AA">
            <w:pPr>
              <w:pStyle w:val="Style76"/>
              <w:jc w:val="center"/>
              <w:rPr>
                <w:rFonts w:ascii="Cambria" w:hAnsi="Cambria"/>
                <w:sz w:val="22"/>
                <w:szCs w:val="22"/>
              </w:rPr>
            </w:pPr>
            <w:r>
              <w:rPr>
                <w:rFonts w:ascii="Cambria" w:hAnsi="Cambria"/>
                <w:sz w:val="22"/>
                <w:szCs w:val="22"/>
              </w:rPr>
              <w:lastRenderedPageBreak/>
              <w:t>2</w:t>
            </w:r>
          </w:p>
        </w:tc>
      </w:tr>
      <w:tr w:rsidR="00345F8E" w:rsidRPr="00345F8E" w:rsidTr="00CC186D">
        <w:tc>
          <w:tcPr>
            <w:tcW w:w="715" w:type="dxa"/>
            <w:shd w:val="clear" w:color="auto" w:fill="C5E0B3" w:themeFill="accent6" w:themeFillTint="66"/>
          </w:tcPr>
          <w:p w:rsidR="00345F8E" w:rsidRPr="00345F8E" w:rsidRDefault="00345F8E" w:rsidP="00345F8E">
            <w:pPr>
              <w:pStyle w:val="Style76"/>
              <w:ind w:firstLine="720"/>
              <w:rPr>
                <w:rFonts w:ascii="Cambria" w:hAnsi="Cambria"/>
                <w:b/>
                <w:sz w:val="22"/>
                <w:szCs w:val="22"/>
              </w:rPr>
            </w:pPr>
          </w:p>
        </w:tc>
        <w:tc>
          <w:tcPr>
            <w:tcW w:w="2340" w:type="dxa"/>
            <w:shd w:val="clear" w:color="auto" w:fill="C5E0B3" w:themeFill="accent6" w:themeFillTint="66"/>
          </w:tcPr>
          <w:p w:rsidR="00345F8E" w:rsidRPr="00345F8E" w:rsidRDefault="00345F8E" w:rsidP="00345F8E">
            <w:pPr>
              <w:pStyle w:val="Style76"/>
              <w:ind w:firstLine="720"/>
              <w:rPr>
                <w:rFonts w:ascii="Cambria" w:hAnsi="Cambria"/>
                <w:b/>
                <w:sz w:val="22"/>
                <w:szCs w:val="22"/>
              </w:rPr>
            </w:pPr>
          </w:p>
        </w:tc>
        <w:tc>
          <w:tcPr>
            <w:tcW w:w="4510" w:type="dxa"/>
            <w:shd w:val="clear" w:color="auto" w:fill="C5E0B3" w:themeFill="accent6" w:themeFillTint="66"/>
          </w:tcPr>
          <w:p w:rsidR="00345F8E" w:rsidRPr="00345F8E" w:rsidRDefault="00345F8E" w:rsidP="004E32AA">
            <w:pPr>
              <w:pStyle w:val="Style76"/>
              <w:rPr>
                <w:rFonts w:ascii="Cambria" w:hAnsi="Cambria"/>
                <w:b/>
                <w:sz w:val="22"/>
                <w:szCs w:val="22"/>
              </w:rPr>
            </w:pPr>
            <w:r w:rsidRPr="00345F8E">
              <w:rPr>
                <w:rFonts w:ascii="Cambria" w:hAnsi="Cambria"/>
                <w:b/>
                <w:sz w:val="22"/>
                <w:szCs w:val="22"/>
              </w:rPr>
              <w:t>Общо точки по показател К2 –  максимум</w:t>
            </w:r>
          </w:p>
        </w:tc>
        <w:tc>
          <w:tcPr>
            <w:tcW w:w="1677" w:type="dxa"/>
            <w:shd w:val="clear" w:color="auto" w:fill="C5E0B3" w:themeFill="accent6" w:themeFillTint="66"/>
            <w:vAlign w:val="center"/>
          </w:tcPr>
          <w:p w:rsidR="00345F8E" w:rsidRPr="00345F8E" w:rsidRDefault="00345F8E" w:rsidP="00CC186D">
            <w:pPr>
              <w:pStyle w:val="Style76"/>
              <w:jc w:val="center"/>
              <w:rPr>
                <w:rFonts w:ascii="Cambria" w:hAnsi="Cambria"/>
                <w:b/>
                <w:sz w:val="22"/>
                <w:szCs w:val="22"/>
              </w:rPr>
            </w:pPr>
            <w:r w:rsidRPr="00345F8E">
              <w:rPr>
                <w:rFonts w:ascii="Cambria" w:hAnsi="Cambria"/>
                <w:b/>
                <w:sz w:val="22"/>
                <w:szCs w:val="22"/>
                <w:lang w:val="en-US"/>
              </w:rPr>
              <w:t>6</w:t>
            </w:r>
            <w:r w:rsidRPr="00345F8E">
              <w:rPr>
                <w:rFonts w:ascii="Cambria" w:hAnsi="Cambria"/>
                <w:b/>
                <w:sz w:val="22"/>
                <w:szCs w:val="22"/>
              </w:rPr>
              <w:t>0</w:t>
            </w:r>
          </w:p>
        </w:tc>
      </w:tr>
    </w:tbl>
    <w:p w:rsidR="00345F8E" w:rsidRDefault="00345F8E" w:rsidP="00345F8E">
      <w:pPr>
        <w:pStyle w:val="Style76"/>
        <w:ind w:firstLine="720"/>
        <w:rPr>
          <w:rFonts w:ascii="Cambria" w:hAnsi="Cambria"/>
          <w:sz w:val="22"/>
          <w:szCs w:val="22"/>
        </w:rPr>
      </w:pPr>
    </w:p>
    <w:p w:rsidR="00345F8E" w:rsidRDefault="00345F8E" w:rsidP="00345F8E">
      <w:pPr>
        <w:pStyle w:val="Style76"/>
        <w:ind w:firstLine="720"/>
        <w:rPr>
          <w:rFonts w:ascii="Cambria" w:hAnsi="Cambria"/>
          <w:sz w:val="22"/>
          <w:szCs w:val="22"/>
        </w:rPr>
      </w:pPr>
      <w:bookmarkStart w:id="0" w:name="_GoBack"/>
      <w:bookmarkEnd w:id="0"/>
    </w:p>
    <w:sectPr w:rsidR="00345F8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246" w:rsidRDefault="00627246" w:rsidP="00844A20">
      <w:pPr>
        <w:spacing w:after="0" w:line="240" w:lineRule="auto"/>
      </w:pPr>
      <w:r>
        <w:separator/>
      </w:r>
    </w:p>
  </w:endnote>
  <w:endnote w:type="continuationSeparator" w:id="0">
    <w:p w:rsidR="00627246" w:rsidRDefault="00627246" w:rsidP="0084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129562"/>
      <w:docPartObj>
        <w:docPartGallery w:val="Page Numbers (Bottom of Page)"/>
        <w:docPartUnique/>
      </w:docPartObj>
    </w:sdtPr>
    <w:sdtEndPr>
      <w:rPr>
        <w:noProof/>
      </w:rPr>
    </w:sdtEndPr>
    <w:sdtContent>
      <w:sdt>
        <w:sdtPr>
          <w:id w:val="1927375399"/>
          <w:docPartObj>
            <w:docPartGallery w:val="Page Numbers (Bottom of Page)"/>
            <w:docPartUnique/>
          </w:docPartObj>
        </w:sdtPr>
        <w:sdtEndPr>
          <w:rPr>
            <w:noProof/>
          </w:rPr>
        </w:sdtEndPr>
        <w:sdtContent>
          <w:p w:rsidR="00844A20" w:rsidRPr="00844A20" w:rsidRDefault="00844A20" w:rsidP="00844A20">
            <w:pPr>
              <w:pStyle w:val="Footer"/>
              <w:pBdr>
                <w:top w:val="single" w:sz="4" w:space="1" w:color="auto"/>
              </w:pBdr>
              <w:tabs>
                <w:tab w:val="clear" w:pos="4536"/>
                <w:tab w:val="center" w:pos="0"/>
              </w:tabs>
              <w:jc w:val="center"/>
              <w:rPr>
                <w:noProof/>
              </w:rPr>
            </w:pPr>
            <w:r w:rsidRPr="00844A20">
              <w:rPr>
                <w:sz w:val="16"/>
              </w:rPr>
              <w:t>„</w:t>
            </w:r>
            <w:r w:rsidRPr="00844A20">
              <w:rPr>
                <w:rFonts w:ascii="Cambria" w:hAnsi="Cambria"/>
                <w:sz w:val="16"/>
              </w:rPr>
              <w:t>Подмяна на външна дограма в сградата на МВнР – Централно управление</w:t>
            </w:r>
            <w:r>
              <w:rPr>
                <w:rFonts w:ascii="Cambria" w:hAnsi="Cambria"/>
                <w:sz w:val="16"/>
              </w:rPr>
              <w:t>“</w:t>
            </w:r>
          </w:p>
        </w:sdtContent>
      </w:sdt>
      <w:p w:rsidR="00844A20" w:rsidRDefault="00844A20" w:rsidP="00844A20">
        <w:pPr>
          <w:pStyle w:val="Footer"/>
          <w:jc w:val="right"/>
        </w:pPr>
        <w:r>
          <w:t xml:space="preserve"> </w:t>
        </w:r>
        <w:r>
          <w:fldChar w:fldCharType="begin"/>
        </w:r>
        <w:r>
          <w:instrText xml:space="preserve"> PAGE   \* MERGEFORMAT </w:instrText>
        </w:r>
        <w:r>
          <w:fldChar w:fldCharType="separate"/>
        </w:r>
        <w:r w:rsidR="00220AE9">
          <w:rPr>
            <w:noProof/>
          </w:rPr>
          <w:t>4</w:t>
        </w:r>
        <w:r>
          <w:rPr>
            <w:noProof/>
          </w:rPr>
          <w:fldChar w:fldCharType="end"/>
        </w:r>
      </w:p>
    </w:sdtContent>
  </w:sdt>
  <w:p w:rsidR="00844A20" w:rsidRDefault="0084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246" w:rsidRDefault="00627246" w:rsidP="00844A20">
      <w:pPr>
        <w:spacing w:after="0" w:line="240" w:lineRule="auto"/>
      </w:pPr>
      <w:r>
        <w:separator/>
      </w:r>
    </w:p>
  </w:footnote>
  <w:footnote w:type="continuationSeparator" w:id="0">
    <w:p w:rsidR="00627246" w:rsidRDefault="00627246" w:rsidP="00844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340"/>
    <w:multiLevelType w:val="hybridMultilevel"/>
    <w:tmpl w:val="60A4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80E9D"/>
    <w:multiLevelType w:val="hybridMultilevel"/>
    <w:tmpl w:val="4DC87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265B3"/>
    <w:multiLevelType w:val="hybridMultilevel"/>
    <w:tmpl w:val="60A4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E1221"/>
    <w:multiLevelType w:val="hybridMultilevel"/>
    <w:tmpl w:val="4D004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679F0"/>
    <w:multiLevelType w:val="hybridMultilevel"/>
    <w:tmpl w:val="43FA4588"/>
    <w:lvl w:ilvl="0" w:tplc="D4C05DC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36"/>
    <w:rsid w:val="00217CCC"/>
    <w:rsid w:val="00220AE9"/>
    <w:rsid w:val="00345F8E"/>
    <w:rsid w:val="003470E2"/>
    <w:rsid w:val="00417FB3"/>
    <w:rsid w:val="004E32AA"/>
    <w:rsid w:val="00627246"/>
    <w:rsid w:val="00747CA4"/>
    <w:rsid w:val="00777636"/>
    <w:rsid w:val="00844A20"/>
    <w:rsid w:val="00946B36"/>
    <w:rsid w:val="00A61CE9"/>
    <w:rsid w:val="00C5403A"/>
    <w:rsid w:val="00CC186D"/>
    <w:rsid w:val="00E623E3"/>
    <w:rsid w:val="00F73C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663709-3D43-4544-B202-7B0C1383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636"/>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0E2"/>
    <w:pPr>
      <w:ind w:left="720"/>
      <w:contextualSpacing/>
    </w:pPr>
  </w:style>
  <w:style w:type="paragraph" w:customStyle="1" w:styleId="Standard">
    <w:name w:val="Standard"/>
    <w:rsid w:val="00777636"/>
    <w:pPr>
      <w:suppressAutoHyphens/>
      <w:autoSpaceDN w:val="0"/>
    </w:pPr>
    <w:rPr>
      <w:rFonts w:ascii="Times New Roman" w:eastAsia="SimSun" w:hAnsi="Times New Roman" w:cs="Mangal"/>
      <w:kern w:val="3"/>
      <w:sz w:val="24"/>
      <w:szCs w:val="24"/>
      <w:lang w:val="en-GB" w:bidi="hi-IN"/>
    </w:rPr>
  </w:style>
  <w:style w:type="paragraph" w:styleId="BalloonText">
    <w:name w:val="Balloon Text"/>
    <w:basedOn w:val="Normal"/>
    <w:link w:val="BalloonTextChar"/>
    <w:uiPriority w:val="99"/>
    <w:semiHidden/>
    <w:unhideWhenUsed/>
    <w:rsid w:val="00C54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03A"/>
    <w:rPr>
      <w:rFonts w:ascii="Segoe UI" w:eastAsiaTheme="minorHAnsi" w:hAnsi="Segoe UI" w:cs="Segoe UI"/>
      <w:sz w:val="18"/>
      <w:szCs w:val="18"/>
    </w:rPr>
  </w:style>
  <w:style w:type="paragraph" w:customStyle="1" w:styleId="Style76">
    <w:name w:val="Style76"/>
    <w:basedOn w:val="Normal"/>
    <w:rsid w:val="00C5403A"/>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844A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4A2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44A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4A2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Vesselina Baeva</dc:creator>
  <cp:keywords/>
  <dc:description/>
  <cp:lastModifiedBy>Vesselina Baeva</cp:lastModifiedBy>
  <cp:revision>2</cp:revision>
  <cp:lastPrinted>2018-10-18T13:57:00Z</cp:lastPrinted>
  <dcterms:created xsi:type="dcterms:W3CDTF">2018-10-22T09:18:00Z</dcterms:created>
  <dcterms:modified xsi:type="dcterms:W3CDTF">2018-10-22T09:18:00Z</dcterms:modified>
</cp:coreProperties>
</file>